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414A" w:rsidP="0415EF08" w:rsidRDefault="00DD414A" w14:paraId="46C2447C" w14:textId="77777777">
      <w:pPr>
        <w:spacing w:after="0" w:line="240" w:lineRule="auto"/>
        <w:rPr>
          <w:rStyle w:val="Heading1Char"/>
          <w:rFonts w:ascii="Aptos" w:hAnsi="Aptos" w:eastAsia="Aptos" w:cs="Aptos"/>
        </w:rPr>
      </w:pPr>
    </w:p>
    <w:p w:rsidR="00566BA1" w:rsidP="0415EF08" w:rsidRDefault="262113B9" w14:paraId="049FC855" w14:textId="6988F8EB">
      <w:pPr>
        <w:spacing w:after="0" w:line="240" w:lineRule="auto"/>
        <w:rPr>
          <w:rFonts w:ascii="Aptos" w:hAnsi="Aptos" w:eastAsia="Aptos" w:cs="Aptos"/>
          <w:color w:val="2F5496" w:themeColor="accent1" w:themeShade="BF"/>
          <w:sz w:val="40"/>
          <w:szCs w:val="40"/>
        </w:rPr>
      </w:pPr>
      <w:r w:rsidRPr="0415EF08">
        <w:rPr>
          <w:rStyle w:val="Heading1Char"/>
          <w:rFonts w:ascii="Aptos" w:hAnsi="Aptos" w:eastAsia="Aptos" w:cs="Aptos"/>
        </w:rPr>
        <w:t>Milestone: Adopt Clinical Guidelines</w:t>
      </w:r>
    </w:p>
    <w:p w:rsidR="00566BA1" w:rsidP="0415EF08" w:rsidRDefault="00566BA1" w14:paraId="3D011C1D" w14:textId="29813A22">
      <w:pPr>
        <w:spacing w:after="0" w:line="240" w:lineRule="auto"/>
        <w:rPr>
          <w:rFonts w:ascii="Aptos" w:hAnsi="Aptos" w:eastAsia="Aptos" w:cs="Aptos"/>
          <w:color w:val="000000" w:themeColor="text1"/>
          <w:sz w:val="24"/>
          <w:szCs w:val="24"/>
        </w:rPr>
      </w:pPr>
    </w:p>
    <w:p w:rsidR="00566BA1" w:rsidP="0415EF08" w:rsidRDefault="262113B9" w14:paraId="4958E634" w14:textId="2F02FCA7">
      <w:pPr>
        <w:spacing w:after="0" w:line="240" w:lineRule="auto"/>
        <w:rPr>
          <w:rFonts w:ascii="Aptos" w:hAnsi="Aptos" w:eastAsia="Aptos" w:cs="Aptos"/>
          <w:color w:val="000000" w:themeColor="text1"/>
          <w:sz w:val="24"/>
          <w:szCs w:val="24"/>
        </w:rPr>
      </w:pPr>
      <w:r w:rsidRPr="0415EF08">
        <w:rPr>
          <w:rFonts w:ascii="Aptos" w:hAnsi="Aptos" w:eastAsia="Aptos" w:cs="Aptos"/>
          <w:b/>
          <w:bCs/>
          <w:color w:val="000000" w:themeColor="text1"/>
          <w:sz w:val="24"/>
          <w:szCs w:val="24"/>
        </w:rPr>
        <w:t>Milestone Language:</w:t>
      </w:r>
      <w:r w:rsidRPr="0415EF08">
        <w:rPr>
          <w:rFonts w:ascii="Aptos" w:hAnsi="Aptos" w:eastAsia="Aptos" w:cs="Aptos"/>
          <w:color w:val="000000" w:themeColor="text1"/>
          <w:sz w:val="24"/>
          <w:szCs w:val="24"/>
        </w:rPr>
        <w:t xml:space="preserve"> Adopt evidenced-based clinical guideline(s) related to KPI metrics for selected </w:t>
      </w:r>
      <w:proofErr w:type="spellStart"/>
      <w:r w:rsidRPr="0415EF08">
        <w:rPr>
          <w:rFonts w:ascii="Aptos" w:hAnsi="Aptos" w:eastAsia="Aptos" w:cs="Aptos"/>
          <w:color w:val="000000" w:themeColor="text1"/>
          <w:sz w:val="24"/>
          <w:szCs w:val="24"/>
        </w:rPr>
        <w:t>PoF</w:t>
      </w:r>
      <w:proofErr w:type="spellEnd"/>
      <w:r w:rsidRPr="0415EF08">
        <w:rPr>
          <w:rFonts w:ascii="Aptos" w:hAnsi="Aptos" w:eastAsia="Aptos" w:cs="Aptos"/>
          <w:color w:val="000000" w:themeColor="text1"/>
          <w:sz w:val="24"/>
          <w:szCs w:val="24"/>
        </w:rPr>
        <w:t>. Monitor adherence to guideline(s) for providers to ensure standardization in practice. This includes communication of guidelines to providers and staff, adapting workflows based on clinical guidelines for patients seen and not seen in clinic, integration of guidelines into the EHR, and tracking provider/care team adherence to guidelines.</w:t>
      </w:r>
    </w:p>
    <w:p w:rsidR="00566BA1" w:rsidP="0415EF08" w:rsidRDefault="00566BA1" w14:paraId="74F3B060" w14:textId="03FDA814">
      <w:pPr>
        <w:spacing w:after="0" w:line="240" w:lineRule="auto"/>
        <w:rPr>
          <w:rFonts w:ascii="Aptos" w:hAnsi="Aptos" w:eastAsia="Aptos" w:cs="Aptos"/>
          <w:color w:val="000000" w:themeColor="text1"/>
          <w:sz w:val="24"/>
          <w:szCs w:val="24"/>
        </w:rPr>
      </w:pPr>
    </w:p>
    <w:p w:rsidR="00566BA1" w:rsidP="0415EF08" w:rsidRDefault="262113B9" w14:paraId="7AA4BE75" w14:textId="5E6ABDF5">
      <w:pPr>
        <w:spacing w:after="0" w:line="240" w:lineRule="auto"/>
        <w:rPr>
          <w:rFonts w:ascii="Aptos" w:hAnsi="Aptos" w:eastAsia="Aptos" w:cs="Aptos"/>
          <w:color w:val="000000" w:themeColor="text1"/>
          <w:sz w:val="24"/>
          <w:szCs w:val="24"/>
        </w:rPr>
      </w:pPr>
      <w:r w:rsidRPr="0415EF08">
        <w:rPr>
          <w:rFonts w:ascii="Aptos" w:hAnsi="Aptos" w:eastAsia="Aptos" w:cs="Aptos"/>
          <w:b/>
          <w:bCs/>
          <w:color w:val="000000" w:themeColor="text1"/>
          <w:sz w:val="24"/>
          <w:szCs w:val="24"/>
        </w:rPr>
        <w:t>Instructions:</w:t>
      </w:r>
      <w:r w:rsidR="00566BA1">
        <w:br/>
      </w:r>
      <w:r w:rsidRPr="0415EF08">
        <w:rPr>
          <w:rFonts w:ascii="Aptos" w:hAnsi="Aptos" w:eastAsia="Aptos" w:cs="Aptos"/>
          <w:color w:val="000000" w:themeColor="text1"/>
          <w:sz w:val="24"/>
          <w:szCs w:val="24"/>
        </w:rPr>
        <w:t>For the selected Population of Focus (</w:t>
      </w:r>
      <w:proofErr w:type="spellStart"/>
      <w:r w:rsidRPr="0415EF08">
        <w:rPr>
          <w:rFonts w:ascii="Aptos" w:hAnsi="Aptos" w:eastAsia="Aptos" w:cs="Aptos"/>
          <w:color w:val="000000" w:themeColor="text1"/>
          <w:sz w:val="24"/>
          <w:szCs w:val="24"/>
        </w:rPr>
        <w:t>PoF</w:t>
      </w:r>
      <w:proofErr w:type="spellEnd"/>
      <w:r w:rsidRPr="0415EF08">
        <w:rPr>
          <w:rFonts w:ascii="Aptos" w:hAnsi="Aptos" w:eastAsia="Aptos" w:cs="Aptos"/>
          <w:color w:val="000000" w:themeColor="text1"/>
          <w:sz w:val="24"/>
          <w:szCs w:val="24"/>
        </w:rPr>
        <w:t>), please identify one evidence-based clinical guideline your practice is using to improve care. Your responses in the sections below should focus on how this specific guideline has been adopted, communicated, integrated into workflows and EHR systems, and monitored for adherence.</w:t>
      </w:r>
    </w:p>
    <w:p w:rsidR="00566BA1" w:rsidP="0415EF08" w:rsidRDefault="00566BA1" w14:paraId="055672A5" w14:textId="581ECB7F">
      <w:pPr>
        <w:spacing w:after="0" w:line="240" w:lineRule="auto"/>
        <w:rPr>
          <w:rFonts w:ascii="Aptos" w:hAnsi="Aptos" w:eastAsia="Aptos" w:cs="Aptos"/>
          <w:color w:val="000000" w:themeColor="text1"/>
          <w:sz w:val="24"/>
          <w:szCs w:val="24"/>
        </w:rPr>
      </w:pPr>
    </w:p>
    <w:p w:rsidR="00566BA1" w:rsidP="0415EF08" w:rsidRDefault="262113B9" w14:paraId="2BC15179" w14:textId="4B0A5F2C">
      <w:pPr>
        <w:spacing w:after="0" w:line="240" w:lineRule="auto"/>
        <w:rPr>
          <w:rFonts w:ascii="Aptos" w:hAnsi="Aptos" w:eastAsia="Aptos" w:cs="Aptos"/>
          <w:color w:val="000000" w:themeColor="text1"/>
          <w:sz w:val="24"/>
          <w:szCs w:val="24"/>
        </w:rPr>
      </w:pPr>
      <w:r w:rsidRPr="0415EF08">
        <w:rPr>
          <w:rFonts w:ascii="Aptos" w:hAnsi="Aptos" w:eastAsia="Aptos" w:cs="Aptos"/>
          <w:b/>
          <w:bCs/>
          <w:color w:val="000000" w:themeColor="text1"/>
          <w:sz w:val="24"/>
          <w:szCs w:val="24"/>
        </w:rPr>
        <w:t xml:space="preserve">[automatically display </w:t>
      </w:r>
      <w:proofErr w:type="spellStart"/>
      <w:r w:rsidRPr="0415EF08">
        <w:rPr>
          <w:rFonts w:ascii="Aptos" w:hAnsi="Aptos" w:eastAsia="Aptos" w:cs="Aptos"/>
          <w:b/>
          <w:bCs/>
          <w:color w:val="000000" w:themeColor="text1"/>
          <w:sz w:val="24"/>
          <w:szCs w:val="24"/>
        </w:rPr>
        <w:t>PoF</w:t>
      </w:r>
      <w:proofErr w:type="spellEnd"/>
      <w:r w:rsidRPr="0415EF08">
        <w:rPr>
          <w:rFonts w:ascii="Aptos" w:hAnsi="Aptos" w:eastAsia="Aptos" w:cs="Aptos"/>
          <w:b/>
          <w:bCs/>
          <w:color w:val="000000" w:themeColor="text1"/>
          <w:sz w:val="24"/>
          <w:szCs w:val="24"/>
        </w:rPr>
        <w:t xml:space="preserve"> and corresponding HEDIS-like measures]</w:t>
      </w:r>
    </w:p>
    <w:p w:rsidR="00566BA1" w:rsidP="0415EF08" w:rsidRDefault="262113B9" w14:paraId="2820A8E9" w14:textId="73618385">
      <w:pPr>
        <w:pStyle w:val="Heading2"/>
        <w:spacing w:before="299" w:after="299"/>
        <w:rPr>
          <w:rFonts w:ascii="Aptos" w:hAnsi="Aptos" w:eastAsia="Aptos" w:cs="Aptos"/>
          <w:b w:val="0"/>
          <w:color w:val="000000" w:themeColor="text1"/>
          <w:sz w:val="24"/>
          <w:szCs w:val="24"/>
        </w:rPr>
      </w:pPr>
      <w:r w:rsidRPr="0415EF08">
        <w:rPr>
          <w:rFonts w:ascii="Aptos" w:hAnsi="Aptos" w:eastAsia="Aptos" w:cs="Aptos"/>
          <w:bCs/>
          <w:color w:val="000000" w:themeColor="text1"/>
          <w:sz w:val="24"/>
          <w:szCs w:val="24"/>
        </w:rPr>
        <w:t>1. Clinical Guideline Adoption for Selected Population of Focus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561"/>
        <w:gridCol w:w="5799"/>
      </w:tblGrid>
      <w:tr w:rsidR="0415EF08" w:rsidTr="010FBCF5" w14:paraId="781EFEF9" w14:textId="77777777">
        <w:trPr>
          <w:trHeight w:val="300"/>
        </w:trPr>
        <w:tc>
          <w:tcPr>
            <w:tcW w:w="3561" w:type="dxa"/>
            <w:tcBorders>
              <w:top w:val="single" w:color="auto" w:sz="6" w:space="0"/>
              <w:left w:val="single" w:color="auto" w:sz="6" w:space="0"/>
            </w:tcBorders>
            <w:tcMar>
              <w:left w:w="90" w:type="dxa"/>
              <w:right w:w="90" w:type="dxa"/>
            </w:tcMar>
          </w:tcPr>
          <w:p w:rsidR="0415EF08" w:rsidP="0415EF08" w:rsidRDefault="0415EF08" w14:paraId="67A69024" w14:textId="20D23266">
            <w:pPr>
              <w:rPr>
                <w:rFonts w:ascii="Aptos" w:hAnsi="Aptos" w:eastAsia="Aptos" w:cs="Aptos"/>
                <w:sz w:val="24"/>
                <w:szCs w:val="24"/>
              </w:rPr>
            </w:pPr>
            <w:r w:rsidRPr="0415EF08">
              <w:rPr>
                <w:rFonts w:ascii="Aptos" w:hAnsi="Aptos" w:eastAsia="Aptos" w:cs="Aptos"/>
                <w:b/>
                <w:bCs/>
                <w:sz w:val="24"/>
                <w:szCs w:val="24"/>
              </w:rPr>
              <w:t>Prompt</w:t>
            </w:r>
          </w:p>
        </w:tc>
        <w:tc>
          <w:tcPr>
            <w:tcW w:w="5799" w:type="dxa"/>
            <w:tcBorders>
              <w:top w:val="single" w:color="auto" w:sz="6" w:space="0"/>
              <w:right w:val="single" w:color="auto" w:sz="6" w:space="0"/>
            </w:tcBorders>
            <w:tcMar>
              <w:left w:w="90" w:type="dxa"/>
              <w:right w:w="90" w:type="dxa"/>
            </w:tcMar>
          </w:tcPr>
          <w:p w:rsidR="0415EF08" w:rsidP="0415EF08" w:rsidRDefault="0415EF08" w14:paraId="24A39061" w14:textId="271E3664">
            <w:pPr>
              <w:rPr>
                <w:rFonts w:ascii="Aptos" w:hAnsi="Aptos" w:eastAsia="Aptos" w:cs="Aptos"/>
                <w:sz w:val="24"/>
                <w:szCs w:val="24"/>
              </w:rPr>
            </w:pPr>
            <w:r w:rsidRPr="0415EF08">
              <w:rPr>
                <w:rFonts w:ascii="Aptos" w:hAnsi="Aptos" w:eastAsia="Aptos" w:cs="Aptos"/>
                <w:b/>
                <w:bCs/>
                <w:sz w:val="24"/>
                <w:szCs w:val="24"/>
              </w:rPr>
              <w:t xml:space="preserve"> Response</w:t>
            </w:r>
          </w:p>
        </w:tc>
      </w:tr>
      <w:tr w:rsidR="0415EF08" w:rsidTr="010FBCF5" w14:paraId="628919D4" w14:textId="77777777">
        <w:trPr>
          <w:trHeight w:val="300"/>
        </w:trPr>
        <w:tc>
          <w:tcPr>
            <w:tcW w:w="3561" w:type="dxa"/>
            <w:tcBorders>
              <w:left w:val="single" w:color="auto" w:sz="6" w:space="0"/>
            </w:tcBorders>
            <w:tcMar>
              <w:left w:w="90" w:type="dxa"/>
              <w:right w:w="90" w:type="dxa"/>
            </w:tcMar>
          </w:tcPr>
          <w:p w:rsidR="0415EF08" w:rsidP="0415EF08" w:rsidRDefault="0415EF08" w14:paraId="209DF6A8" w14:textId="11494608">
            <w:pPr>
              <w:rPr>
                <w:rFonts w:ascii="Aptos" w:hAnsi="Aptos" w:eastAsia="Aptos" w:cs="Aptos"/>
                <w:sz w:val="24"/>
                <w:szCs w:val="24"/>
              </w:rPr>
            </w:pPr>
            <w:r w:rsidRPr="010FBCF5" w:rsidR="3368A516">
              <w:rPr>
                <w:rFonts w:ascii="Aptos" w:hAnsi="Aptos" w:eastAsia="Aptos" w:cs="Aptos"/>
                <w:sz w:val="24"/>
                <w:szCs w:val="24"/>
              </w:rPr>
              <w:t>Please see the appendix for a list of suggested guidelines</w:t>
            </w:r>
            <w:r w:rsidRPr="010FBCF5" w:rsidR="699FBF2F">
              <w:rPr>
                <w:rFonts w:ascii="Aptos" w:hAnsi="Aptos" w:eastAsia="Aptos" w:cs="Aptos"/>
                <w:sz w:val="24"/>
                <w:szCs w:val="24"/>
              </w:rPr>
              <w:t xml:space="preserve"> [auto-populate]. Do you </w:t>
            </w:r>
            <w:r w:rsidRPr="010FBCF5" w:rsidR="699FBF2F">
              <w:rPr>
                <w:rFonts w:ascii="Aptos" w:hAnsi="Aptos" w:eastAsia="Aptos" w:cs="Aptos"/>
                <w:sz w:val="24"/>
                <w:szCs w:val="24"/>
              </w:rPr>
              <w:t>use</w:t>
            </w:r>
            <w:r w:rsidRPr="010FBCF5" w:rsidR="699FBF2F">
              <w:rPr>
                <w:rFonts w:ascii="Aptos" w:hAnsi="Aptos" w:eastAsia="Aptos" w:cs="Aptos"/>
                <w:sz w:val="24"/>
                <w:szCs w:val="24"/>
              </w:rPr>
              <w:t xml:space="preserve"> these guidelines?</w:t>
            </w:r>
          </w:p>
        </w:tc>
        <w:tc>
          <w:tcPr>
            <w:tcW w:w="5799" w:type="dxa"/>
            <w:tcBorders>
              <w:right w:val="single" w:color="auto" w:sz="6" w:space="0"/>
            </w:tcBorders>
            <w:tcMar>
              <w:left w:w="90" w:type="dxa"/>
              <w:right w:w="90" w:type="dxa"/>
            </w:tcMar>
          </w:tcPr>
          <w:p w:rsidR="0415EF08" w:rsidP="0415EF08" w:rsidRDefault="0415EF08" w14:paraId="74138042" w14:textId="39B7A962">
            <w:pPr>
              <w:rPr>
                <w:rFonts w:ascii="Aptos" w:hAnsi="Aptos" w:eastAsia="Aptos" w:cs="Aptos"/>
                <w:sz w:val="24"/>
                <w:szCs w:val="24"/>
              </w:rPr>
            </w:pPr>
            <w:r w:rsidRPr="0415EF08">
              <w:rPr>
                <w:rFonts w:ascii="Aptos" w:hAnsi="Aptos" w:eastAsia="Aptos" w:cs="Aptos"/>
                <w:sz w:val="24"/>
                <w:szCs w:val="24"/>
              </w:rPr>
              <w:t>[] Yes</w:t>
            </w:r>
          </w:p>
          <w:p w:rsidR="0415EF08" w:rsidP="0415EF08" w:rsidRDefault="0415EF08" w14:paraId="6ABB7028" w14:textId="38E0990A">
            <w:pPr>
              <w:rPr>
                <w:rFonts w:ascii="Aptos" w:hAnsi="Aptos" w:eastAsia="Aptos" w:cs="Aptos"/>
                <w:sz w:val="24"/>
                <w:szCs w:val="24"/>
              </w:rPr>
            </w:pPr>
            <w:r w:rsidRPr="0415EF08">
              <w:rPr>
                <w:rFonts w:ascii="Aptos" w:hAnsi="Aptos" w:eastAsia="Aptos" w:cs="Aptos"/>
                <w:sz w:val="24"/>
                <w:szCs w:val="24"/>
              </w:rPr>
              <w:t xml:space="preserve">[] </w:t>
            </w:r>
            <w:proofErr w:type="gramStart"/>
            <w:r w:rsidRPr="0415EF08">
              <w:rPr>
                <w:rFonts w:ascii="Aptos" w:hAnsi="Aptos" w:eastAsia="Aptos" w:cs="Aptos"/>
                <w:sz w:val="24"/>
                <w:szCs w:val="24"/>
              </w:rPr>
              <w:t>Yes</w:t>
            </w:r>
            <w:proofErr w:type="gramEnd"/>
            <w:r w:rsidRPr="0415EF08">
              <w:rPr>
                <w:rFonts w:ascii="Aptos" w:hAnsi="Aptos" w:eastAsia="Aptos" w:cs="Aptos"/>
                <w:sz w:val="24"/>
                <w:szCs w:val="24"/>
              </w:rPr>
              <w:t xml:space="preserve"> but with some changes (please describe)</w:t>
            </w:r>
          </w:p>
          <w:p w:rsidR="0415EF08" w:rsidP="0415EF08" w:rsidRDefault="0415EF08" w14:paraId="5BDE618A" w14:textId="7D1E753A">
            <w:pPr>
              <w:rPr>
                <w:rFonts w:ascii="Aptos" w:hAnsi="Aptos" w:eastAsia="Aptos" w:cs="Aptos"/>
                <w:sz w:val="24"/>
                <w:szCs w:val="24"/>
              </w:rPr>
            </w:pPr>
            <w:r w:rsidRPr="0415EF08">
              <w:rPr>
                <w:rFonts w:ascii="Aptos" w:hAnsi="Aptos" w:eastAsia="Aptos" w:cs="Aptos"/>
                <w:sz w:val="24"/>
                <w:szCs w:val="24"/>
              </w:rPr>
              <w:t>[] No, we use different guidelines (please describe)</w:t>
            </w:r>
          </w:p>
        </w:tc>
      </w:tr>
      <w:tr w:rsidR="0415EF08" w:rsidTr="010FBCF5" w14:paraId="3F1E904B" w14:textId="77777777">
        <w:trPr>
          <w:trHeight w:val="300"/>
        </w:trPr>
        <w:tc>
          <w:tcPr>
            <w:tcW w:w="3561" w:type="dxa"/>
            <w:tcBorders>
              <w:left w:val="single" w:color="auto" w:sz="6" w:space="0"/>
            </w:tcBorders>
            <w:tcMar>
              <w:left w:w="90" w:type="dxa"/>
              <w:right w:w="90" w:type="dxa"/>
            </w:tcMar>
          </w:tcPr>
          <w:p w:rsidR="0415EF08" w:rsidP="0415EF08" w:rsidRDefault="0415EF08" w14:paraId="323626B8" w14:textId="45D65966">
            <w:pPr>
              <w:rPr>
                <w:rFonts w:ascii="Aptos" w:hAnsi="Aptos" w:eastAsia="Aptos" w:cs="Aptos"/>
                <w:sz w:val="24"/>
                <w:szCs w:val="24"/>
              </w:rPr>
            </w:pPr>
            <w:r w:rsidRPr="0415EF08">
              <w:rPr>
                <w:rFonts w:ascii="Aptos" w:hAnsi="Aptos" w:eastAsia="Aptos" w:cs="Aptos"/>
                <w:sz w:val="24"/>
                <w:szCs w:val="24"/>
              </w:rPr>
              <w:t xml:space="preserve">Who selects, reviews, and </w:t>
            </w:r>
            <w:proofErr w:type="gramStart"/>
            <w:r w:rsidRPr="0415EF08">
              <w:rPr>
                <w:rFonts w:ascii="Aptos" w:hAnsi="Aptos" w:eastAsia="Aptos" w:cs="Aptos"/>
                <w:sz w:val="24"/>
                <w:szCs w:val="24"/>
              </w:rPr>
              <w:t>tailors</w:t>
            </w:r>
            <w:proofErr w:type="gramEnd"/>
            <w:r w:rsidRPr="0415EF08">
              <w:rPr>
                <w:rFonts w:ascii="Aptos" w:hAnsi="Aptos" w:eastAsia="Aptos" w:cs="Aptos"/>
                <w:sz w:val="24"/>
                <w:szCs w:val="24"/>
              </w:rPr>
              <w:t xml:space="preserve"> clinical guidelines into clinic policy at your practice(s)? (Please list the title or role of the person(s) responsible—for example, “Chief Medical Officer” or “Clinical Lead.”)</w:t>
            </w:r>
          </w:p>
        </w:tc>
        <w:tc>
          <w:tcPr>
            <w:tcW w:w="5799" w:type="dxa"/>
            <w:tcBorders>
              <w:right w:val="single" w:color="auto" w:sz="6" w:space="0"/>
            </w:tcBorders>
            <w:tcMar>
              <w:left w:w="90" w:type="dxa"/>
              <w:right w:w="90" w:type="dxa"/>
            </w:tcMar>
          </w:tcPr>
          <w:p w:rsidR="0415EF08" w:rsidP="0415EF08" w:rsidRDefault="0415EF08" w14:paraId="5EA754D6" w14:textId="480C29EC">
            <w:pPr>
              <w:rPr>
                <w:rFonts w:ascii="Aptos" w:hAnsi="Aptos" w:eastAsia="Aptos" w:cs="Aptos"/>
                <w:sz w:val="24"/>
                <w:szCs w:val="24"/>
              </w:rPr>
            </w:pPr>
          </w:p>
        </w:tc>
      </w:tr>
      <w:tr w:rsidR="0415EF08" w:rsidTr="010FBCF5" w14:paraId="745C9953" w14:textId="77777777">
        <w:trPr>
          <w:trHeight w:val="300"/>
        </w:trPr>
        <w:tc>
          <w:tcPr>
            <w:tcW w:w="3561" w:type="dxa"/>
            <w:tcBorders>
              <w:left w:val="single" w:color="auto" w:sz="6" w:space="0"/>
            </w:tcBorders>
            <w:tcMar>
              <w:left w:w="90" w:type="dxa"/>
              <w:right w:w="90" w:type="dxa"/>
            </w:tcMar>
          </w:tcPr>
          <w:p w:rsidR="0415EF08" w:rsidP="0415EF08" w:rsidRDefault="0415EF08" w14:paraId="0AC3501A" w14:textId="55824E97">
            <w:pPr>
              <w:rPr>
                <w:rFonts w:ascii="Aptos" w:hAnsi="Aptos" w:eastAsia="Aptos" w:cs="Aptos"/>
                <w:sz w:val="24"/>
                <w:szCs w:val="24"/>
              </w:rPr>
            </w:pPr>
            <w:r w:rsidRPr="0415EF08">
              <w:rPr>
                <w:rFonts w:ascii="Aptos" w:hAnsi="Aptos" w:eastAsia="Aptos" w:cs="Aptos"/>
                <w:sz w:val="24"/>
                <w:szCs w:val="24"/>
              </w:rPr>
              <w:t>How often are guidelines reviewed?</w:t>
            </w:r>
          </w:p>
        </w:tc>
        <w:tc>
          <w:tcPr>
            <w:tcW w:w="5799" w:type="dxa"/>
            <w:tcBorders>
              <w:right w:val="single" w:color="auto" w:sz="6" w:space="0"/>
            </w:tcBorders>
            <w:tcMar>
              <w:left w:w="90" w:type="dxa"/>
              <w:right w:w="90" w:type="dxa"/>
            </w:tcMar>
          </w:tcPr>
          <w:p w:rsidR="0415EF08" w:rsidP="0415EF08" w:rsidRDefault="0415EF08" w14:paraId="21AAAD44" w14:textId="70F61876">
            <w:pPr>
              <w:rPr>
                <w:rFonts w:ascii="Aptos" w:hAnsi="Aptos" w:eastAsia="Aptos" w:cs="Aptos"/>
                <w:sz w:val="24"/>
                <w:szCs w:val="24"/>
              </w:rPr>
            </w:pPr>
          </w:p>
        </w:tc>
      </w:tr>
      <w:tr w:rsidR="0415EF08" w:rsidTr="010FBCF5" w14:paraId="02921294" w14:textId="77777777">
        <w:trPr>
          <w:trHeight w:val="300"/>
        </w:trPr>
        <w:tc>
          <w:tcPr>
            <w:tcW w:w="3561" w:type="dxa"/>
            <w:tcBorders>
              <w:left w:val="single" w:color="auto" w:sz="6" w:space="0"/>
              <w:bottom w:val="single" w:color="auto" w:sz="6" w:space="0"/>
            </w:tcBorders>
            <w:tcMar>
              <w:left w:w="90" w:type="dxa"/>
              <w:right w:w="90" w:type="dxa"/>
            </w:tcMar>
          </w:tcPr>
          <w:p w:rsidR="0415EF08" w:rsidP="0415EF08" w:rsidRDefault="0415EF08" w14:paraId="2742F6B4" w14:textId="3103CDE2">
            <w:pPr>
              <w:rPr>
                <w:rFonts w:ascii="Aptos" w:hAnsi="Aptos" w:eastAsia="Aptos" w:cs="Aptos"/>
                <w:sz w:val="24"/>
                <w:szCs w:val="24"/>
              </w:rPr>
            </w:pPr>
            <w:r w:rsidRPr="0415EF08">
              <w:rPr>
                <w:rFonts w:ascii="Aptos" w:hAnsi="Aptos" w:eastAsia="Aptos" w:cs="Aptos"/>
                <w:sz w:val="24"/>
                <w:szCs w:val="24"/>
              </w:rPr>
              <w:t xml:space="preserve">How are clinical guideline-related policies updated, and approved at your practice? </w:t>
            </w:r>
            <w:r w:rsidRPr="0415EF08">
              <w:rPr>
                <w:rFonts w:ascii="Aptos" w:hAnsi="Aptos" w:eastAsia="Aptos" w:cs="Aptos"/>
                <w:i/>
                <w:iCs/>
                <w:sz w:val="24"/>
                <w:szCs w:val="24"/>
              </w:rPr>
              <w:t xml:space="preserve">(Please describe the process and note who is responsible for updating and approving policies—for example, Clinical Committee, Medical Director, or QI Lead. If you have a written </w:t>
            </w:r>
            <w:r w:rsidRPr="0415EF08">
              <w:rPr>
                <w:rFonts w:ascii="Aptos" w:hAnsi="Aptos" w:eastAsia="Aptos" w:cs="Aptos"/>
                <w:i/>
                <w:iCs/>
                <w:sz w:val="24"/>
                <w:szCs w:val="24"/>
              </w:rPr>
              <w:lastRenderedPageBreak/>
              <w:t>policy or procedure that outlines this process, please note that as well.)</w:t>
            </w:r>
          </w:p>
        </w:tc>
        <w:tc>
          <w:tcPr>
            <w:tcW w:w="5799" w:type="dxa"/>
            <w:tcBorders>
              <w:bottom w:val="single" w:color="auto" w:sz="6" w:space="0"/>
              <w:right w:val="single" w:color="auto" w:sz="6" w:space="0"/>
            </w:tcBorders>
            <w:tcMar>
              <w:left w:w="90" w:type="dxa"/>
              <w:right w:w="90" w:type="dxa"/>
            </w:tcMar>
          </w:tcPr>
          <w:p w:rsidR="0415EF08" w:rsidP="0415EF08" w:rsidRDefault="0415EF08" w14:paraId="74A96DF5" w14:textId="1A5C3231">
            <w:pPr>
              <w:rPr>
                <w:rFonts w:ascii="Aptos" w:hAnsi="Aptos" w:eastAsia="Aptos" w:cs="Aptos"/>
                <w:sz w:val="24"/>
                <w:szCs w:val="24"/>
              </w:rPr>
            </w:pPr>
          </w:p>
        </w:tc>
      </w:tr>
    </w:tbl>
    <w:p w:rsidR="00566BA1" w:rsidP="0415EF08" w:rsidRDefault="262113B9" w14:paraId="67F49601" w14:textId="1E326CCA">
      <w:pPr>
        <w:pStyle w:val="Heading2"/>
        <w:spacing w:before="299" w:after="299"/>
        <w:rPr>
          <w:rFonts w:ascii="Aptos" w:hAnsi="Aptos" w:eastAsia="Aptos" w:cs="Aptos"/>
          <w:b w:val="0"/>
          <w:color w:val="000000" w:themeColor="text1"/>
          <w:sz w:val="24"/>
          <w:szCs w:val="24"/>
        </w:rPr>
      </w:pPr>
      <w:r w:rsidRPr="0415EF08">
        <w:rPr>
          <w:rFonts w:ascii="Aptos" w:hAnsi="Aptos" w:eastAsia="Aptos" w:cs="Aptos"/>
          <w:bCs/>
          <w:color w:val="000000" w:themeColor="text1"/>
          <w:sz w:val="24"/>
          <w:szCs w:val="24"/>
        </w:rPr>
        <w:t>2. Communication and Staff/Clinician Engagement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561"/>
        <w:gridCol w:w="5799"/>
      </w:tblGrid>
      <w:tr w:rsidR="0415EF08" w:rsidTr="0415EF08" w14:paraId="74A7B6FE" w14:textId="77777777">
        <w:trPr>
          <w:trHeight w:val="300"/>
        </w:trPr>
        <w:tc>
          <w:tcPr>
            <w:tcW w:w="356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415EF08" w:rsidP="0415EF08" w:rsidRDefault="0415EF08" w14:paraId="34EB68BC" w14:textId="06B461C1">
            <w:pPr>
              <w:rPr>
                <w:rFonts w:ascii="Aptos" w:hAnsi="Aptos" w:eastAsia="Aptos" w:cs="Aptos"/>
                <w:sz w:val="24"/>
                <w:szCs w:val="24"/>
              </w:rPr>
            </w:pPr>
            <w:r w:rsidRPr="0415EF08">
              <w:rPr>
                <w:rFonts w:ascii="Aptos" w:hAnsi="Aptos" w:eastAsia="Aptos" w:cs="Aptos"/>
                <w:b/>
                <w:bCs/>
                <w:sz w:val="24"/>
                <w:szCs w:val="24"/>
              </w:rPr>
              <w:t>Prompt</w:t>
            </w:r>
          </w:p>
        </w:tc>
        <w:tc>
          <w:tcPr>
            <w:tcW w:w="579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415EF08" w:rsidP="0415EF08" w:rsidRDefault="0415EF08" w14:paraId="776A4CEA" w14:textId="77325E83">
            <w:pPr>
              <w:rPr>
                <w:rFonts w:ascii="Aptos" w:hAnsi="Aptos" w:eastAsia="Aptos" w:cs="Aptos"/>
                <w:sz w:val="24"/>
                <w:szCs w:val="24"/>
              </w:rPr>
            </w:pPr>
            <w:r w:rsidRPr="0415EF08">
              <w:rPr>
                <w:rFonts w:ascii="Aptos" w:hAnsi="Aptos" w:eastAsia="Aptos" w:cs="Aptos"/>
                <w:b/>
                <w:bCs/>
                <w:sz w:val="24"/>
                <w:szCs w:val="24"/>
              </w:rPr>
              <w:t>Response</w:t>
            </w:r>
          </w:p>
        </w:tc>
      </w:tr>
      <w:tr w:rsidR="0415EF08" w:rsidTr="0415EF08" w14:paraId="149218FC" w14:textId="77777777">
        <w:trPr>
          <w:trHeight w:val="300"/>
        </w:trPr>
        <w:tc>
          <w:tcPr>
            <w:tcW w:w="356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415EF08" w:rsidP="0415EF08" w:rsidRDefault="0415EF08" w14:paraId="27BF8146" w14:textId="798A7E5A">
            <w:pPr>
              <w:rPr>
                <w:rFonts w:ascii="Aptos" w:hAnsi="Aptos" w:eastAsia="Aptos" w:cs="Aptos"/>
                <w:sz w:val="24"/>
                <w:szCs w:val="24"/>
              </w:rPr>
            </w:pPr>
            <w:r w:rsidRPr="0415EF08">
              <w:rPr>
                <w:rFonts w:ascii="Aptos" w:hAnsi="Aptos" w:eastAsia="Aptos" w:cs="Aptos"/>
                <w:sz w:val="24"/>
                <w:szCs w:val="24"/>
              </w:rPr>
              <w:t>How are staff involved in clinical guideline review?</w:t>
            </w:r>
          </w:p>
        </w:tc>
        <w:tc>
          <w:tcPr>
            <w:tcW w:w="579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415EF08" w:rsidP="0415EF08" w:rsidRDefault="0415EF08" w14:paraId="3D59A8C7" w14:textId="26243B09">
            <w:pPr>
              <w:rPr>
                <w:rFonts w:ascii="Aptos" w:hAnsi="Aptos" w:eastAsia="Aptos" w:cs="Aptos"/>
                <w:sz w:val="24"/>
                <w:szCs w:val="24"/>
              </w:rPr>
            </w:pPr>
          </w:p>
        </w:tc>
      </w:tr>
      <w:tr w:rsidR="0415EF08" w:rsidTr="0415EF08" w14:paraId="114C20E3" w14:textId="77777777">
        <w:trPr>
          <w:trHeight w:val="300"/>
        </w:trPr>
        <w:tc>
          <w:tcPr>
            <w:tcW w:w="356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415EF08" w:rsidP="0415EF08" w:rsidRDefault="0415EF08" w14:paraId="1EA4A0E4" w14:textId="47BE009C">
            <w:pPr>
              <w:rPr>
                <w:rFonts w:ascii="Aptos" w:hAnsi="Aptos" w:eastAsia="Aptos" w:cs="Aptos"/>
                <w:sz w:val="24"/>
                <w:szCs w:val="24"/>
              </w:rPr>
            </w:pPr>
            <w:r w:rsidRPr="0415EF08">
              <w:rPr>
                <w:rFonts w:ascii="Aptos" w:hAnsi="Aptos" w:eastAsia="Aptos" w:cs="Aptos"/>
                <w:sz w:val="24"/>
                <w:szCs w:val="24"/>
              </w:rPr>
              <w:t>How are providers and staff trained or oriented around guidelines and related clinic policies?</w:t>
            </w:r>
          </w:p>
        </w:tc>
        <w:tc>
          <w:tcPr>
            <w:tcW w:w="579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415EF08" w:rsidP="0415EF08" w:rsidRDefault="0415EF08" w14:paraId="26DF371E" w14:textId="78C83556">
            <w:pPr>
              <w:rPr>
                <w:rFonts w:ascii="Aptos" w:hAnsi="Aptos" w:eastAsia="Aptos" w:cs="Aptos"/>
                <w:sz w:val="24"/>
                <w:szCs w:val="24"/>
              </w:rPr>
            </w:pPr>
          </w:p>
        </w:tc>
      </w:tr>
      <w:tr w:rsidR="0415EF08" w:rsidTr="0415EF08" w14:paraId="76B3CAE6" w14:textId="77777777">
        <w:trPr>
          <w:trHeight w:val="300"/>
        </w:trPr>
        <w:tc>
          <w:tcPr>
            <w:tcW w:w="356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415EF08" w:rsidP="0415EF08" w:rsidRDefault="0415EF08" w14:paraId="227D8113" w14:textId="6A3545FA">
            <w:pPr>
              <w:rPr>
                <w:rFonts w:ascii="Aptos" w:hAnsi="Aptos" w:eastAsia="Aptos" w:cs="Aptos"/>
                <w:sz w:val="24"/>
                <w:szCs w:val="24"/>
              </w:rPr>
            </w:pPr>
            <w:r w:rsidRPr="0415EF08">
              <w:rPr>
                <w:rFonts w:ascii="Aptos" w:hAnsi="Aptos" w:eastAsia="Aptos" w:cs="Aptos"/>
                <w:sz w:val="24"/>
                <w:szCs w:val="24"/>
              </w:rPr>
              <w:t>How are updates to guidelines and related policies communicated to staff and clinicians?</w:t>
            </w:r>
          </w:p>
        </w:tc>
        <w:tc>
          <w:tcPr>
            <w:tcW w:w="579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415EF08" w:rsidP="0415EF08" w:rsidRDefault="0415EF08" w14:paraId="6B6CFB60" w14:textId="2359CF31">
            <w:pPr>
              <w:rPr>
                <w:rFonts w:ascii="Aptos" w:hAnsi="Aptos" w:eastAsia="Aptos" w:cs="Aptos"/>
                <w:sz w:val="24"/>
                <w:szCs w:val="24"/>
              </w:rPr>
            </w:pPr>
          </w:p>
        </w:tc>
      </w:tr>
    </w:tbl>
    <w:p w:rsidR="00566BA1" w:rsidP="0415EF08" w:rsidRDefault="00566BA1" w14:paraId="75FE0D5E" w14:textId="7F17AD5B">
      <w:pPr>
        <w:rPr>
          <w:rFonts w:ascii="Aptos" w:hAnsi="Aptos" w:eastAsia="Aptos" w:cs="Aptos"/>
          <w:color w:val="000000" w:themeColor="text1"/>
          <w:sz w:val="24"/>
          <w:szCs w:val="24"/>
        </w:rPr>
      </w:pPr>
    </w:p>
    <w:p w:rsidR="00566BA1" w:rsidP="0415EF08" w:rsidRDefault="262113B9" w14:paraId="4B0556D5" w14:textId="6AA10FAD">
      <w:pPr>
        <w:pStyle w:val="Heading4"/>
        <w:spacing w:before="319" w:after="319"/>
        <w:rPr>
          <w:rFonts w:ascii="Aptos" w:hAnsi="Aptos" w:eastAsia="Aptos" w:cs="Aptos"/>
          <w:b w:val="0"/>
          <w:i/>
          <w:iCs/>
          <w:color w:val="000000" w:themeColor="text1"/>
        </w:rPr>
      </w:pPr>
      <w:r w:rsidRPr="0415EF08">
        <w:rPr>
          <w:rFonts w:ascii="Aptos" w:hAnsi="Aptos" w:eastAsia="Aptos" w:cs="Aptos"/>
          <w:bCs/>
          <w:color w:val="000000" w:themeColor="text1"/>
        </w:rPr>
        <w:t>3. Workflow Adaptation</w:t>
      </w:r>
    </w:p>
    <w:p w:rsidR="00566BA1" w:rsidP="0415EF08" w:rsidRDefault="262113B9" w14:paraId="4CE35B7E" w14:textId="02E3FB32">
      <w:pPr>
        <w:rPr>
          <w:rFonts w:ascii="Aptos" w:hAnsi="Aptos" w:eastAsia="Aptos" w:cs="Aptos"/>
          <w:color w:val="000000" w:themeColor="text1"/>
          <w:sz w:val="24"/>
          <w:szCs w:val="24"/>
        </w:rPr>
      </w:pPr>
      <w:r w:rsidRPr="0415EF08">
        <w:rPr>
          <w:rFonts w:ascii="Aptos" w:hAnsi="Aptos" w:eastAsia="Aptos" w:cs="Aptos"/>
          <w:b/>
          <w:bCs/>
          <w:color w:val="000000" w:themeColor="text1"/>
          <w:sz w:val="24"/>
          <w:szCs w:val="24"/>
        </w:rPr>
        <w:t xml:space="preserve">Note: </w:t>
      </w:r>
      <w:r w:rsidRPr="0415EF08">
        <w:rPr>
          <w:rFonts w:ascii="Aptos" w:hAnsi="Aptos" w:eastAsia="Aptos" w:cs="Aptos"/>
          <w:color w:val="000000" w:themeColor="text1"/>
          <w:sz w:val="24"/>
          <w:szCs w:val="24"/>
        </w:rPr>
        <w:t xml:space="preserve">The following questions ask about how your practice has adapted workflows to support implementation of the evidence-based clinical guideline selected for your </w:t>
      </w:r>
      <w:proofErr w:type="spellStart"/>
      <w:r w:rsidRPr="0415EF08">
        <w:rPr>
          <w:rFonts w:ascii="Aptos" w:hAnsi="Aptos" w:eastAsia="Aptos" w:cs="Aptos"/>
          <w:color w:val="000000" w:themeColor="text1"/>
          <w:sz w:val="24"/>
          <w:szCs w:val="24"/>
        </w:rPr>
        <w:t>PoF</w:t>
      </w:r>
      <w:proofErr w:type="spellEnd"/>
      <w:r w:rsidRPr="0415EF08">
        <w:rPr>
          <w:rFonts w:ascii="Aptos" w:hAnsi="Aptos" w:eastAsia="Aptos" w:cs="Aptos"/>
          <w:color w:val="000000" w:themeColor="text1"/>
          <w:sz w:val="24"/>
          <w:szCs w:val="24"/>
        </w:rPr>
        <w:t>. Please describe any protocols, workflows, or tools used to support consistent care delivery based on this guideline.</w:t>
      </w:r>
    </w:p>
    <w:tbl>
      <w:tblP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561"/>
        <w:gridCol w:w="5799"/>
      </w:tblGrid>
      <w:tr w:rsidR="0415EF08" w:rsidTr="0415EF08" w14:paraId="1D5B66F2" w14:textId="77777777">
        <w:trPr>
          <w:trHeight w:val="300"/>
        </w:trPr>
        <w:tc>
          <w:tcPr>
            <w:tcW w:w="356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68020464" w14:textId="331715E9">
            <w:pPr>
              <w:spacing w:after="0"/>
              <w:jc w:val="center"/>
              <w:rPr>
                <w:rFonts w:ascii="Aptos" w:hAnsi="Aptos" w:eastAsia="Aptos" w:cs="Aptos"/>
                <w:sz w:val="24"/>
                <w:szCs w:val="24"/>
              </w:rPr>
            </w:pPr>
            <w:r w:rsidRPr="0415EF08">
              <w:rPr>
                <w:rFonts w:ascii="Aptos" w:hAnsi="Aptos" w:eastAsia="Aptos" w:cs="Aptos"/>
                <w:b/>
                <w:bCs/>
                <w:sz w:val="24"/>
                <w:szCs w:val="24"/>
              </w:rPr>
              <w:t>Prompt</w:t>
            </w:r>
          </w:p>
        </w:tc>
        <w:tc>
          <w:tcPr>
            <w:tcW w:w="579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5DD2F1F8" w14:textId="328C30B3">
            <w:pPr>
              <w:spacing w:after="0"/>
              <w:jc w:val="center"/>
              <w:rPr>
                <w:rFonts w:ascii="Aptos" w:hAnsi="Aptos" w:eastAsia="Aptos" w:cs="Aptos"/>
                <w:sz w:val="24"/>
                <w:szCs w:val="24"/>
              </w:rPr>
            </w:pPr>
            <w:r w:rsidRPr="0415EF08">
              <w:rPr>
                <w:rFonts w:ascii="Aptos" w:hAnsi="Aptos" w:eastAsia="Aptos" w:cs="Aptos"/>
                <w:b/>
                <w:bCs/>
                <w:sz w:val="24"/>
                <w:szCs w:val="24"/>
              </w:rPr>
              <w:t>Response</w:t>
            </w:r>
          </w:p>
        </w:tc>
      </w:tr>
      <w:tr w:rsidR="0415EF08" w:rsidTr="0415EF08" w14:paraId="0BD30029" w14:textId="77777777">
        <w:trPr>
          <w:trHeight w:val="300"/>
        </w:trPr>
        <w:tc>
          <w:tcPr>
            <w:tcW w:w="356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4F906F8C" w14:textId="7D327A45">
            <w:pPr>
              <w:spacing w:after="0"/>
              <w:rPr>
                <w:rFonts w:ascii="Aptos" w:hAnsi="Aptos" w:eastAsia="Aptos" w:cs="Aptos"/>
                <w:sz w:val="24"/>
                <w:szCs w:val="24"/>
              </w:rPr>
            </w:pPr>
            <w:r w:rsidRPr="0415EF08">
              <w:rPr>
                <w:rFonts w:ascii="Aptos" w:hAnsi="Aptos" w:eastAsia="Aptos" w:cs="Aptos"/>
                <w:sz w:val="24"/>
                <w:szCs w:val="24"/>
              </w:rPr>
              <w:t>The relevant workflows our practice uses are... [e.g., care coordinator outreach workflow for colorectal cancer screening]</w:t>
            </w:r>
          </w:p>
        </w:tc>
        <w:tc>
          <w:tcPr>
            <w:tcW w:w="579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21A56FCA" w14:textId="759C8AEA">
            <w:pPr>
              <w:rPr>
                <w:rFonts w:ascii="Aptos" w:hAnsi="Aptos" w:eastAsia="Aptos" w:cs="Aptos"/>
                <w:sz w:val="24"/>
                <w:szCs w:val="24"/>
              </w:rPr>
            </w:pPr>
          </w:p>
        </w:tc>
      </w:tr>
      <w:tr w:rsidR="0415EF08" w:rsidTr="0415EF08" w14:paraId="32B88948" w14:textId="77777777">
        <w:trPr>
          <w:trHeight w:val="300"/>
        </w:trPr>
        <w:tc>
          <w:tcPr>
            <w:tcW w:w="356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6673FA17" w14:textId="352BC02D">
            <w:pPr>
              <w:spacing w:after="0"/>
              <w:rPr>
                <w:rFonts w:ascii="Aptos" w:hAnsi="Aptos" w:eastAsia="Aptos" w:cs="Aptos"/>
                <w:sz w:val="24"/>
                <w:szCs w:val="24"/>
              </w:rPr>
            </w:pPr>
            <w:r w:rsidRPr="0415EF08">
              <w:rPr>
                <w:rFonts w:ascii="Aptos" w:hAnsi="Aptos" w:eastAsia="Aptos" w:cs="Aptos"/>
                <w:sz w:val="24"/>
                <w:szCs w:val="24"/>
              </w:rPr>
              <w:t>The standing orders and/or standardized protocols we use are...</w:t>
            </w:r>
          </w:p>
        </w:tc>
        <w:tc>
          <w:tcPr>
            <w:tcW w:w="579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085EB463" w14:textId="04EB8BBE">
            <w:pPr>
              <w:spacing w:after="0"/>
              <w:rPr>
                <w:rFonts w:ascii="Aptos" w:hAnsi="Aptos" w:eastAsia="Aptos" w:cs="Aptos"/>
                <w:sz w:val="24"/>
                <w:szCs w:val="24"/>
              </w:rPr>
            </w:pPr>
          </w:p>
        </w:tc>
      </w:tr>
      <w:tr w:rsidR="0415EF08" w:rsidTr="0415EF08" w14:paraId="09566461" w14:textId="77777777">
        <w:trPr>
          <w:trHeight w:val="300"/>
        </w:trPr>
        <w:tc>
          <w:tcPr>
            <w:tcW w:w="356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3BFB6B2B" w14:textId="71273AD1">
            <w:pPr>
              <w:spacing w:after="0"/>
              <w:rPr>
                <w:rFonts w:ascii="Aptos" w:hAnsi="Aptos" w:eastAsia="Aptos" w:cs="Aptos"/>
                <w:sz w:val="24"/>
                <w:szCs w:val="24"/>
              </w:rPr>
            </w:pPr>
            <w:r w:rsidRPr="0415EF08">
              <w:rPr>
                <w:rFonts w:ascii="Aptos" w:hAnsi="Aptos" w:eastAsia="Aptos" w:cs="Aptos"/>
                <w:sz w:val="24"/>
                <w:szCs w:val="24"/>
              </w:rPr>
              <w:t>Are pre-visit planning or flagging tools used?</w:t>
            </w:r>
          </w:p>
        </w:tc>
        <w:tc>
          <w:tcPr>
            <w:tcW w:w="579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0BD699CD" w14:textId="78097A44">
            <w:pPr>
              <w:spacing w:after="0"/>
              <w:rPr>
                <w:rFonts w:ascii="Aptos" w:hAnsi="Aptos" w:eastAsia="Aptos" w:cs="Aptos"/>
                <w:sz w:val="24"/>
                <w:szCs w:val="24"/>
              </w:rPr>
            </w:pPr>
            <w:r w:rsidRPr="0415EF08">
              <w:rPr>
                <w:rFonts w:ascii="Aptos" w:hAnsi="Aptos" w:eastAsia="Aptos" w:cs="Aptos"/>
                <w:sz w:val="24"/>
                <w:szCs w:val="24"/>
              </w:rPr>
              <w:t>☐ Yes ☐ No (If yes, describe)</w:t>
            </w:r>
          </w:p>
        </w:tc>
      </w:tr>
    </w:tbl>
    <w:p w:rsidR="00566BA1" w:rsidP="0415EF08" w:rsidRDefault="00566BA1" w14:paraId="2D47A840" w14:textId="6C4FD846">
      <w:pPr>
        <w:rPr>
          <w:rFonts w:ascii="Aptos" w:hAnsi="Aptos" w:eastAsia="Aptos" w:cs="Aptos"/>
          <w:color w:val="000000" w:themeColor="text1"/>
          <w:sz w:val="24"/>
          <w:szCs w:val="24"/>
        </w:rPr>
      </w:pPr>
    </w:p>
    <w:p w:rsidR="00566BA1" w:rsidP="0415EF08" w:rsidRDefault="262113B9" w14:paraId="161110D7" w14:textId="3E9540FA">
      <w:pPr>
        <w:pStyle w:val="Heading4"/>
        <w:spacing w:before="319" w:after="319"/>
        <w:rPr>
          <w:rFonts w:ascii="Aptos" w:hAnsi="Aptos" w:eastAsia="Aptos" w:cs="Aptos"/>
          <w:b w:val="0"/>
          <w:i/>
          <w:iCs/>
          <w:color w:val="000000" w:themeColor="text1"/>
        </w:rPr>
      </w:pPr>
      <w:r w:rsidRPr="0415EF08">
        <w:rPr>
          <w:rFonts w:ascii="Aptos" w:hAnsi="Aptos" w:eastAsia="Aptos" w:cs="Aptos"/>
          <w:bCs/>
          <w:color w:val="000000" w:themeColor="text1"/>
        </w:rPr>
        <w:t>4. EHR/Data Integration</w:t>
      </w:r>
    </w:p>
    <w:tbl>
      <w:tblP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206"/>
        <w:gridCol w:w="6154"/>
      </w:tblGrid>
      <w:tr w:rsidR="0415EF08" w:rsidTr="0415EF08" w14:paraId="63C4E2A7" w14:textId="77777777">
        <w:trPr>
          <w:trHeight w:val="300"/>
        </w:trPr>
        <w:tc>
          <w:tcPr>
            <w:tcW w:w="320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16229369" w14:textId="2781E52F">
            <w:pPr>
              <w:spacing w:after="0"/>
              <w:jc w:val="center"/>
              <w:rPr>
                <w:rFonts w:ascii="Aptos" w:hAnsi="Aptos" w:eastAsia="Aptos" w:cs="Aptos"/>
                <w:sz w:val="24"/>
                <w:szCs w:val="24"/>
              </w:rPr>
            </w:pPr>
            <w:r w:rsidRPr="0415EF08">
              <w:rPr>
                <w:rFonts w:ascii="Aptos" w:hAnsi="Aptos" w:eastAsia="Aptos" w:cs="Aptos"/>
                <w:b/>
                <w:bCs/>
                <w:sz w:val="24"/>
                <w:szCs w:val="24"/>
              </w:rPr>
              <w:t>Prompt</w:t>
            </w:r>
          </w:p>
        </w:tc>
        <w:tc>
          <w:tcPr>
            <w:tcW w:w="615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7E4B7D9C" w14:textId="6B818E74">
            <w:pPr>
              <w:spacing w:after="0"/>
              <w:jc w:val="center"/>
              <w:rPr>
                <w:rFonts w:ascii="Aptos" w:hAnsi="Aptos" w:eastAsia="Aptos" w:cs="Aptos"/>
                <w:sz w:val="24"/>
                <w:szCs w:val="24"/>
              </w:rPr>
            </w:pPr>
            <w:r w:rsidRPr="0415EF08">
              <w:rPr>
                <w:rFonts w:ascii="Aptos" w:hAnsi="Aptos" w:eastAsia="Aptos" w:cs="Aptos"/>
                <w:b/>
                <w:bCs/>
                <w:sz w:val="24"/>
                <w:szCs w:val="24"/>
              </w:rPr>
              <w:t>Response</w:t>
            </w:r>
          </w:p>
        </w:tc>
      </w:tr>
      <w:tr w:rsidR="0415EF08" w:rsidTr="0415EF08" w14:paraId="50403B1A" w14:textId="77777777">
        <w:trPr>
          <w:trHeight w:val="300"/>
        </w:trPr>
        <w:tc>
          <w:tcPr>
            <w:tcW w:w="320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04290175" w14:textId="5C82704F">
            <w:pPr>
              <w:spacing w:after="0"/>
              <w:rPr>
                <w:rFonts w:ascii="Aptos" w:hAnsi="Aptos" w:eastAsia="Aptos" w:cs="Aptos"/>
                <w:sz w:val="24"/>
                <w:szCs w:val="24"/>
              </w:rPr>
            </w:pPr>
            <w:r w:rsidRPr="0415EF08">
              <w:rPr>
                <w:rFonts w:ascii="Aptos" w:hAnsi="Aptos" w:eastAsia="Aptos" w:cs="Aptos"/>
                <w:sz w:val="24"/>
                <w:szCs w:val="24"/>
              </w:rPr>
              <w:lastRenderedPageBreak/>
              <w:t>Are clinical guidelines incorporated into the EHR (or EHR-linked PHM platform)?</w:t>
            </w:r>
          </w:p>
        </w:tc>
        <w:tc>
          <w:tcPr>
            <w:tcW w:w="615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75CB2C18" w14:textId="37843851">
            <w:pPr>
              <w:spacing w:after="0"/>
              <w:rPr>
                <w:rFonts w:ascii="Aptos" w:hAnsi="Aptos" w:eastAsia="Aptos" w:cs="Aptos"/>
                <w:sz w:val="24"/>
                <w:szCs w:val="24"/>
              </w:rPr>
            </w:pPr>
            <w:r w:rsidRPr="0415EF08">
              <w:rPr>
                <w:rFonts w:ascii="Aptos" w:hAnsi="Aptos" w:eastAsia="Aptos" w:cs="Aptos"/>
                <w:sz w:val="24"/>
                <w:szCs w:val="24"/>
              </w:rPr>
              <w:t>☐ Yes ☐ Partially ☐ No</w:t>
            </w:r>
          </w:p>
        </w:tc>
      </w:tr>
      <w:tr w:rsidR="0415EF08" w:rsidTr="0415EF08" w14:paraId="51D098C5" w14:textId="77777777">
        <w:trPr>
          <w:trHeight w:val="300"/>
        </w:trPr>
        <w:tc>
          <w:tcPr>
            <w:tcW w:w="320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08E3E857" w14:textId="36F13F12">
            <w:pPr>
              <w:spacing w:after="0"/>
              <w:rPr>
                <w:rFonts w:ascii="Aptos" w:hAnsi="Aptos" w:eastAsia="Aptos" w:cs="Aptos"/>
                <w:sz w:val="24"/>
                <w:szCs w:val="24"/>
              </w:rPr>
            </w:pPr>
            <w:r w:rsidRPr="0415EF08">
              <w:rPr>
                <w:rFonts w:ascii="Aptos" w:hAnsi="Aptos" w:eastAsia="Aptos" w:cs="Aptos"/>
                <w:sz w:val="24"/>
                <w:szCs w:val="24"/>
              </w:rPr>
              <w:t>If yes/partially, describe how:</w:t>
            </w:r>
          </w:p>
        </w:tc>
        <w:tc>
          <w:tcPr>
            <w:tcW w:w="615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40EC9181" w14:textId="11E2E5CE">
            <w:pPr>
              <w:spacing w:after="0"/>
              <w:rPr>
                <w:rFonts w:ascii="Aptos" w:hAnsi="Aptos" w:eastAsia="Aptos" w:cs="Aptos"/>
                <w:sz w:val="24"/>
                <w:szCs w:val="24"/>
              </w:rPr>
            </w:pPr>
            <w:r w:rsidRPr="0415EF08">
              <w:rPr>
                <w:rFonts w:ascii="Aptos" w:hAnsi="Aptos" w:eastAsia="Aptos" w:cs="Aptos"/>
                <w:sz w:val="24"/>
                <w:szCs w:val="24"/>
              </w:rPr>
              <w:t>☐ Order sets ☐ Alerts/reminders ☐ Templates ☐ Dashboard ☐ Registry flags</w:t>
            </w:r>
          </w:p>
          <w:p w:rsidR="0415EF08" w:rsidP="0415EF08" w:rsidRDefault="0415EF08" w14:paraId="69DEB5D9" w14:textId="580E0140">
            <w:pPr>
              <w:spacing w:after="0"/>
              <w:rPr>
                <w:rFonts w:ascii="Aptos" w:hAnsi="Aptos" w:eastAsia="Aptos" w:cs="Aptos"/>
                <w:sz w:val="24"/>
                <w:szCs w:val="24"/>
              </w:rPr>
            </w:pPr>
            <w:r w:rsidRPr="0415EF08">
              <w:rPr>
                <w:rFonts w:ascii="Aptos" w:hAnsi="Aptos" w:eastAsia="Aptos" w:cs="Aptos"/>
                <w:sz w:val="24"/>
                <w:szCs w:val="24"/>
              </w:rPr>
              <w:t>[list examples for each checked tool of what’s being used, ex. EHR Alert when out of date for A1c monitoring]</w:t>
            </w:r>
          </w:p>
        </w:tc>
      </w:tr>
      <w:tr w:rsidR="0415EF08" w:rsidTr="0415EF08" w14:paraId="74D3FFEA" w14:textId="77777777">
        <w:trPr>
          <w:trHeight w:val="300"/>
        </w:trPr>
        <w:tc>
          <w:tcPr>
            <w:tcW w:w="320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58FA5513" w14:textId="30EB9CD3">
            <w:pPr>
              <w:spacing w:after="0"/>
              <w:rPr>
                <w:rFonts w:ascii="Aptos" w:hAnsi="Aptos" w:eastAsia="Aptos" w:cs="Aptos"/>
                <w:sz w:val="24"/>
                <w:szCs w:val="24"/>
              </w:rPr>
            </w:pPr>
            <w:r w:rsidRPr="0415EF08">
              <w:rPr>
                <w:rFonts w:ascii="Aptos" w:hAnsi="Aptos" w:eastAsia="Aptos" w:cs="Aptos"/>
                <w:sz w:val="24"/>
                <w:szCs w:val="24"/>
              </w:rPr>
              <w:t>How is the EHR and/or PHM system used to identify care gaps for this clinical guideline?</w:t>
            </w:r>
          </w:p>
        </w:tc>
        <w:tc>
          <w:tcPr>
            <w:tcW w:w="615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3313EA10" w14:textId="0ADE87E6">
            <w:pPr>
              <w:rPr>
                <w:rFonts w:ascii="Aptos" w:hAnsi="Aptos" w:eastAsia="Aptos" w:cs="Aptos"/>
                <w:sz w:val="24"/>
                <w:szCs w:val="24"/>
              </w:rPr>
            </w:pPr>
          </w:p>
        </w:tc>
      </w:tr>
    </w:tbl>
    <w:p w:rsidR="00566BA1" w:rsidP="0415EF08" w:rsidRDefault="00566BA1" w14:paraId="5E02E769" w14:textId="7EEC6699">
      <w:pPr>
        <w:rPr>
          <w:rFonts w:ascii="Aptos" w:hAnsi="Aptos" w:eastAsia="Aptos" w:cs="Aptos"/>
          <w:color w:val="000000" w:themeColor="text1"/>
          <w:sz w:val="24"/>
          <w:szCs w:val="24"/>
        </w:rPr>
      </w:pPr>
    </w:p>
    <w:p w:rsidR="00566BA1" w:rsidP="0415EF08" w:rsidRDefault="262113B9" w14:paraId="51408CC8" w14:textId="72FF3245">
      <w:pPr>
        <w:pStyle w:val="Heading4"/>
        <w:spacing w:before="319" w:after="319"/>
        <w:rPr>
          <w:rFonts w:ascii="Aptos" w:hAnsi="Aptos" w:eastAsia="Aptos" w:cs="Aptos"/>
          <w:b w:val="0"/>
          <w:i/>
          <w:iCs/>
          <w:color w:val="000000" w:themeColor="text1"/>
        </w:rPr>
      </w:pPr>
      <w:r w:rsidRPr="0415EF08">
        <w:rPr>
          <w:rFonts w:ascii="Aptos" w:hAnsi="Aptos" w:eastAsia="Aptos" w:cs="Aptos"/>
          <w:bCs/>
          <w:color w:val="000000" w:themeColor="text1"/>
        </w:rPr>
        <w:t>5. Monitoring Provider/Care Team Adherence</w:t>
      </w:r>
    </w:p>
    <w:tbl>
      <w:tblP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444"/>
        <w:gridCol w:w="5916"/>
      </w:tblGrid>
      <w:tr w:rsidR="0415EF08" w:rsidTr="0415EF08" w14:paraId="5E0DD545" w14:textId="77777777">
        <w:trPr>
          <w:trHeight w:val="300"/>
        </w:trPr>
        <w:tc>
          <w:tcPr>
            <w:tcW w:w="344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074374B0" w14:textId="51C42E7B">
            <w:pPr>
              <w:spacing w:after="0"/>
              <w:jc w:val="center"/>
              <w:rPr>
                <w:rFonts w:ascii="Aptos" w:hAnsi="Aptos" w:eastAsia="Aptos" w:cs="Aptos"/>
                <w:sz w:val="24"/>
                <w:szCs w:val="24"/>
              </w:rPr>
            </w:pPr>
            <w:r w:rsidRPr="0415EF08">
              <w:rPr>
                <w:rFonts w:ascii="Aptos" w:hAnsi="Aptos" w:eastAsia="Aptos" w:cs="Aptos"/>
                <w:b/>
                <w:bCs/>
                <w:sz w:val="24"/>
                <w:szCs w:val="24"/>
              </w:rPr>
              <w:t>Prompt</w:t>
            </w:r>
          </w:p>
        </w:tc>
        <w:tc>
          <w:tcPr>
            <w:tcW w:w="5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1DCE1D6C" w14:textId="13212C55">
            <w:pPr>
              <w:spacing w:after="0"/>
              <w:jc w:val="center"/>
              <w:rPr>
                <w:rFonts w:ascii="Aptos" w:hAnsi="Aptos" w:eastAsia="Aptos" w:cs="Aptos"/>
                <w:sz w:val="24"/>
                <w:szCs w:val="24"/>
              </w:rPr>
            </w:pPr>
            <w:r w:rsidRPr="0415EF08">
              <w:rPr>
                <w:rFonts w:ascii="Aptos" w:hAnsi="Aptos" w:eastAsia="Aptos" w:cs="Aptos"/>
                <w:b/>
                <w:bCs/>
                <w:sz w:val="24"/>
                <w:szCs w:val="24"/>
              </w:rPr>
              <w:t>Response</w:t>
            </w:r>
          </w:p>
        </w:tc>
      </w:tr>
      <w:tr w:rsidR="0415EF08" w:rsidTr="0415EF08" w14:paraId="454BB0D3" w14:textId="77777777">
        <w:trPr>
          <w:trHeight w:val="300"/>
        </w:trPr>
        <w:tc>
          <w:tcPr>
            <w:tcW w:w="344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03E34236" w14:textId="09C31984">
            <w:pPr>
              <w:spacing w:after="0"/>
              <w:rPr>
                <w:rFonts w:ascii="Aptos" w:hAnsi="Aptos" w:eastAsia="Aptos" w:cs="Aptos"/>
                <w:sz w:val="24"/>
                <w:szCs w:val="24"/>
              </w:rPr>
            </w:pPr>
            <w:r w:rsidRPr="0415EF08">
              <w:rPr>
                <w:rFonts w:ascii="Aptos" w:hAnsi="Aptos" w:eastAsia="Aptos" w:cs="Aptos"/>
                <w:sz w:val="24"/>
                <w:szCs w:val="24"/>
              </w:rPr>
              <w:t>What indicators and data are used to track adherence to the clinical guideline?</w:t>
            </w:r>
          </w:p>
        </w:tc>
        <w:tc>
          <w:tcPr>
            <w:tcW w:w="5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48608DC2" w14:textId="5983DDEB">
            <w:pPr>
              <w:spacing w:after="0"/>
              <w:rPr>
                <w:rFonts w:ascii="Aptos" w:hAnsi="Aptos" w:eastAsia="Aptos" w:cs="Aptos"/>
                <w:sz w:val="24"/>
                <w:szCs w:val="24"/>
              </w:rPr>
            </w:pPr>
          </w:p>
        </w:tc>
      </w:tr>
      <w:tr w:rsidR="0415EF08" w:rsidTr="0415EF08" w14:paraId="6E5744EA" w14:textId="77777777">
        <w:trPr>
          <w:trHeight w:val="300"/>
        </w:trPr>
        <w:tc>
          <w:tcPr>
            <w:tcW w:w="344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6360C9C8" w14:textId="275FFB17">
            <w:pPr>
              <w:spacing w:after="0"/>
              <w:rPr>
                <w:rFonts w:ascii="Aptos" w:hAnsi="Aptos" w:eastAsia="Aptos" w:cs="Aptos"/>
                <w:sz w:val="24"/>
                <w:szCs w:val="24"/>
              </w:rPr>
            </w:pPr>
            <w:r w:rsidRPr="0415EF08">
              <w:rPr>
                <w:rFonts w:ascii="Aptos" w:hAnsi="Aptos" w:eastAsia="Aptos" w:cs="Aptos"/>
                <w:sz w:val="24"/>
                <w:szCs w:val="24"/>
              </w:rPr>
              <w:t>Who reviews adherence data?</w:t>
            </w:r>
          </w:p>
        </w:tc>
        <w:tc>
          <w:tcPr>
            <w:tcW w:w="5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78C2CA74" w14:textId="408A7903">
            <w:pPr>
              <w:spacing w:after="0"/>
              <w:rPr>
                <w:rFonts w:ascii="Aptos" w:hAnsi="Aptos" w:eastAsia="Aptos" w:cs="Aptos"/>
                <w:sz w:val="24"/>
                <w:szCs w:val="24"/>
              </w:rPr>
            </w:pPr>
            <w:r w:rsidRPr="0415EF08">
              <w:rPr>
                <w:rFonts w:ascii="Aptos" w:hAnsi="Aptos" w:eastAsia="Aptos" w:cs="Aptos"/>
                <w:sz w:val="24"/>
                <w:szCs w:val="24"/>
              </w:rPr>
              <w:t>☐ Clinical Lead ☐ QI Team ☐ Medical Director ☐ BH Director ☐ Others</w:t>
            </w:r>
          </w:p>
        </w:tc>
      </w:tr>
      <w:tr w:rsidR="0415EF08" w:rsidTr="0415EF08" w14:paraId="1CBB6F70" w14:textId="77777777">
        <w:trPr>
          <w:trHeight w:val="300"/>
        </w:trPr>
        <w:tc>
          <w:tcPr>
            <w:tcW w:w="344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75166CE5" w14:textId="5132BC7D">
            <w:pPr>
              <w:spacing w:after="0"/>
              <w:rPr>
                <w:rFonts w:ascii="Aptos" w:hAnsi="Aptos" w:eastAsia="Aptos" w:cs="Aptos"/>
                <w:sz w:val="24"/>
                <w:szCs w:val="24"/>
              </w:rPr>
            </w:pPr>
            <w:r w:rsidRPr="0415EF08">
              <w:rPr>
                <w:rFonts w:ascii="Aptos" w:hAnsi="Aptos" w:eastAsia="Aptos" w:cs="Aptos"/>
                <w:sz w:val="24"/>
                <w:szCs w:val="24"/>
              </w:rPr>
              <w:t>How often is adherence reviewed?</w:t>
            </w:r>
          </w:p>
        </w:tc>
        <w:tc>
          <w:tcPr>
            <w:tcW w:w="5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7526D0DA" w14:textId="432EE297">
            <w:pPr>
              <w:spacing w:after="0"/>
              <w:rPr>
                <w:rFonts w:ascii="Aptos" w:hAnsi="Aptos" w:eastAsia="Aptos" w:cs="Aptos"/>
                <w:sz w:val="24"/>
                <w:szCs w:val="24"/>
              </w:rPr>
            </w:pPr>
            <w:r w:rsidRPr="0415EF08">
              <w:rPr>
                <w:rFonts w:ascii="Aptos" w:hAnsi="Aptos" w:eastAsia="Aptos" w:cs="Aptos"/>
                <w:sz w:val="24"/>
                <w:szCs w:val="24"/>
              </w:rPr>
              <w:t>☐ Weekly ☐ Monthly ☐ Quarterly</w:t>
            </w:r>
          </w:p>
        </w:tc>
      </w:tr>
      <w:tr w:rsidR="0415EF08" w:rsidTr="0415EF08" w14:paraId="716C2007" w14:textId="77777777">
        <w:trPr>
          <w:trHeight w:val="300"/>
        </w:trPr>
        <w:tc>
          <w:tcPr>
            <w:tcW w:w="344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221FBF61" w14:textId="0424A48C">
            <w:pPr>
              <w:spacing w:after="0"/>
              <w:rPr>
                <w:rFonts w:ascii="Aptos" w:hAnsi="Aptos" w:eastAsia="Aptos" w:cs="Aptos"/>
                <w:sz w:val="24"/>
                <w:szCs w:val="24"/>
              </w:rPr>
            </w:pPr>
            <w:r w:rsidRPr="0415EF08">
              <w:rPr>
                <w:rFonts w:ascii="Aptos" w:hAnsi="Aptos" w:eastAsia="Aptos" w:cs="Aptos"/>
                <w:sz w:val="24"/>
                <w:szCs w:val="24"/>
              </w:rPr>
              <w:t>Describe challenges and/or barriers to adhering to the clinical guideline</w:t>
            </w:r>
          </w:p>
        </w:tc>
        <w:tc>
          <w:tcPr>
            <w:tcW w:w="5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4E19143F" w14:textId="5817B794">
            <w:pPr>
              <w:rPr>
                <w:rFonts w:ascii="Aptos" w:hAnsi="Aptos" w:eastAsia="Aptos" w:cs="Aptos"/>
                <w:sz w:val="24"/>
                <w:szCs w:val="24"/>
              </w:rPr>
            </w:pPr>
          </w:p>
        </w:tc>
      </w:tr>
      <w:tr w:rsidR="0415EF08" w:rsidTr="0415EF08" w14:paraId="4F3CE646" w14:textId="77777777">
        <w:trPr>
          <w:trHeight w:val="300"/>
        </w:trPr>
        <w:tc>
          <w:tcPr>
            <w:tcW w:w="344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5E9AF0B8" w14:textId="6EEE64CD">
            <w:pPr>
              <w:spacing w:after="0"/>
              <w:rPr>
                <w:rFonts w:ascii="Aptos" w:hAnsi="Aptos" w:eastAsia="Aptos" w:cs="Aptos"/>
                <w:sz w:val="24"/>
                <w:szCs w:val="24"/>
              </w:rPr>
            </w:pPr>
            <w:r w:rsidRPr="0415EF08">
              <w:rPr>
                <w:rFonts w:ascii="Aptos" w:hAnsi="Aptos" w:eastAsia="Aptos" w:cs="Aptos"/>
                <w:sz w:val="24"/>
                <w:szCs w:val="24"/>
              </w:rPr>
              <w:t>What actions has your practice taken to address gaps in adherence</w:t>
            </w:r>
          </w:p>
        </w:tc>
        <w:tc>
          <w:tcPr>
            <w:tcW w:w="591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0415EF08" w:rsidP="0415EF08" w:rsidRDefault="0415EF08" w14:paraId="045A7089" w14:textId="26032ABF">
            <w:pPr>
              <w:rPr>
                <w:rFonts w:ascii="Aptos" w:hAnsi="Aptos" w:eastAsia="Aptos" w:cs="Aptos"/>
                <w:sz w:val="24"/>
                <w:szCs w:val="24"/>
              </w:rPr>
            </w:pPr>
          </w:p>
        </w:tc>
      </w:tr>
    </w:tbl>
    <w:p w:rsidR="00566BA1" w:rsidP="0415EF08" w:rsidRDefault="00566BA1" w14:paraId="23EB8764" w14:textId="3B133146">
      <w:pPr>
        <w:rPr>
          <w:rFonts w:ascii="Aptos" w:hAnsi="Aptos" w:eastAsia="Aptos" w:cs="Aptos"/>
          <w:color w:val="000000" w:themeColor="text1"/>
          <w:sz w:val="24"/>
          <w:szCs w:val="24"/>
        </w:rPr>
      </w:pPr>
    </w:p>
    <w:p w:rsidR="010FBCF5" w:rsidP="010FBCF5" w:rsidRDefault="010FBCF5" w14:paraId="2663EA6F" w14:textId="47E94079">
      <w:pPr>
        <w:pStyle w:val="Normal"/>
        <w:spacing w:before="240" w:beforeAutospacing="off" w:after="240" w:afterAutospacing="off"/>
        <w:rPr>
          <w:rFonts w:ascii="Aptos" w:hAnsi="Aptos" w:eastAsia="Aptos" w:cs="Aptos"/>
          <w:b w:val="1"/>
          <w:bCs w:val="1"/>
          <w:noProof w:val="0"/>
          <w:sz w:val="24"/>
          <w:szCs w:val="24"/>
          <w:lang w:val="en-US"/>
        </w:rPr>
      </w:pPr>
    </w:p>
    <w:p w:rsidR="30BA6CFC" w:rsidP="010FBCF5" w:rsidRDefault="30BA6CFC" w14:paraId="06A5694B" w14:textId="2A95A044">
      <w:pPr>
        <w:pStyle w:val="Normal"/>
        <w:spacing w:before="240" w:beforeAutospacing="off" w:after="240" w:afterAutospacing="off"/>
        <w:rPr>
          <w:rFonts w:ascii="Aptos" w:hAnsi="Aptos" w:eastAsia="Aptos" w:cs="Aptos"/>
          <w:b w:val="1"/>
          <w:bCs w:val="1"/>
          <w:noProof w:val="0"/>
          <w:sz w:val="24"/>
          <w:szCs w:val="24"/>
          <w:lang w:val="en-US"/>
        </w:rPr>
      </w:pPr>
      <w:r w:rsidRPr="010FBCF5" w:rsidR="30BA6CFC">
        <w:rPr>
          <w:rFonts w:ascii="Aptos" w:hAnsi="Aptos" w:eastAsia="Aptos" w:cs="Aptos"/>
          <w:b w:val="1"/>
          <w:bCs w:val="1"/>
          <w:noProof w:val="0"/>
          <w:sz w:val="24"/>
          <w:szCs w:val="24"/>
          <w:lang w:val="en-US"/>
        </w:rPr>
        <w:t>Appendix: Clinical Guidelines Advisory Group (CGAG) Overview</w:t>
      </w:r>
      <w:r>
        <w:br/>
      </w:r>
      <w:r w:rsidRPr="010FBCF5" w:rsidR="30BA6CFC">
        <w:rPr>
          <w:rFonts w:ascii="Aptos" w:hAnsi="Aptos" w:eastAsia="Aptos" w:cs="Aptos"/>
          <w:noProof w:val="0"/>
          <w:sz w:val="24"/>
          <w:szCs w:val="24"/>
          <w:lang w:val="en-US"/>
        </w:rPr>
        <w:t xml:space="preserve"> To support greater consistency and collaboration in the use of clinical guidelines (CGs) across community health centers (CHCs), the PHMI Clinical Guidelines Advisory Group (CGAG) was </w:t>
      </w:r>
      <w:r w:rsidRPr="010FBCF5" w:rsidR="30BA6CFC">
        <w:rPr>
          <w:rFonts w:ascii="Aptos" w:hAnsi="Aptos" w:eastAsia="Aptos" w:cs="Aptos"/>
          <w:noProof w:val="0"/>
          <w:sz w:val="24"/>
          <w:szCs w:val="24"/>
          <w:lang w:val="en-US"/>
        </w:rPr>
        <w:t>established</w:t>
      </w:r>
      <w:r w:rsidRPr="010FBCF5" w:rsidR="30BA6CFC">
        <w:rPr>
          <w:rFonts w:ascii="Aptos" w:hAnsi="Aptos" w:eastAsia="Aptos" w:cs="Aptos"/>
          <w:noProof w:val="0"/>
          <w:sz w:val="24"/>
          <w:szCs w:val="24"/>
          <w:lang w:val="en-US"/>
        </w:rPr>
        <w:t xml:space="preserve"> in 2022. This effort was prompted by findings that many CHCs lacked formal processes for adopting and monitoring CGs, often resulting in inconsistent application across sites. The CGAG brought together clinical leaders from 32 CHCs to review, compare, and reach consensus on a core set of CGs aligned with PHMI's population and quality measure priorities. These guidelines focus on preventive care, chronic conditions, behavioral health, and maternal-child health and are informed by national and specialty-specific recommendations. Through a structured, multi-phase review and endorsement process, the CGAG established evidence-based CGs to serve as a shared foundation across PHMI CHCs, while allowing flexibility for clinical judgment. Recommendations are intended to guide care delivery, support EHR integration, and inform quality improvement efforts.</w:t>
      </w:r>
    </w:p>
    <w:p w:rsidR="30BA6CFC" w:rsidP="010FBCF5" w:rsidRDefault="30BA6CFC" w14:paraId="5C7C47CF" w14:textId="2C1AA2E1">
      <w:pPr>
        <w:spacing w:before="240" w:beforeAutospacing="off" w:after="240" w:afterAutospacing="off"/>
      </w:pPr>
      <w:r w:rsidRPr="010FBCF5" w:rsidR="30BA6CFC">
        <w:rPr>
          <w:rFonts w:ascii="Aptos" w:hAnsi="Aptos" w:eastAsia="Aptos" w:cs="Aptos"/>
          <w:noProof w:val="0"/>
          <w:sz w:val="24"/>
          <w:szCs w:val="24"/>
          <w:lang w:val="en-US"/>
        </w:rPr>
        <w:t xml:space="preserve">As part of the Equity and Practice Transformation (EPT) program, a list of CGAG-endorsed clinical guidelines is being shared as a starting point for practices that do not currently follow an established set of guidelines, helping to reduce the burden of </w:t>
      </w:r>
      <w:r w:rsidRPr="010FBCF5" w:rsidR="30BA6CFC">
        <w:rPr>
          <w:rFonts w:ascii="Aptos" w:hAnsi="Aptos" w:eastAsia="Aptos" w:cs="Aptos"/>
          <w:noProof w:val="0"/>
          <w:sz w:val="24"/>
          <w:szCs w:val="24"/>
          <w:lang w:val="en-US"/>
        </w:rPr>
        <w:t>identifying</w:t>
      </w:r>
      <w:r w:rsidRPr="010FBCF5" w:rsidR="30BA6CFC">
        <w:rPr>
          <w:rFonts w:ascii="Aptos" w:hAnsi="Aptos" w:eastAsia="Aptos" w:cs="Aptos"/>
          <w:noProof w:val="0"/>
          <w:sz w:val="24"/>
          <w:szCs w:val="24"/>
          <w:lang w:val="en-US"/>
        </w:rPr>
        <w:t xml:space="preserve"> guidelines independently and to accelerate standardization and implementation. Practices can read more and access the full recommended guidelines list on the PHMI website: </w:t>
      </w:r>
      <w:hyperlink w:anchor="recommended-clinical-guidelines-summary" r:id="R80b9966d9abb438f">
        <w:r w:rsidRPr="010FBCF5" w:rsidR="30BA6CFC">
          <w:rPr>
            <w:rStyle w:val="Hyperlink"/>
            <w:rFonts w:ascii="Aptos" w:hAnsi="Aptos" w:eastAsia="Aptos" w:cs="Aptos"/>
            <w:noProof w:val="0"/>
            <w:sz w:val="24"/>
            <w:szCs w:val="24"/>
            <w:lang w:val="en-US"/>
          </w:rPr>
          <w:t>https://phminitiative.com/resource/clinical-guidelines/#recommended-clinical-guidelines-summary</w:t>
        </w:r>
      </w:hyperlink>
      <w:r w:rsidRPr="010FBCF5" w:rsidR="30BA6CFC">
        <w:rPr>
          <w:rFonts w:ascii="Aptos" w:hAnsi="Aptos" w:eastAsia="Aptos" w:cs="Aptos"/>
          <w:noProof w:val="0"/>
          <w:sz w:val="24"/>
          <w:szCs w:val="24"/>
          <w:lang w:val="en-US"/>
        </w:rPr>
        <w:t>.</w:t>
      </w:r>
    </w:p>
    <w:p w:rsidR="010FBCF5" w:rsidP="010FBCF5" w:rsidRDefault="010FBCF5" w14:paraId="01CC4EA7" w14:textId="1BA085A8">
      <w:pPr>
        <w:spacing w:before="240" w:beforeAutospacing="off" w:after="240" w:afterAutospacing="off"/>
        <w:rPr>
          <w:rFonts w:ascii="Aptos" w:hAnsi="Aptos" w:eastAsia="Aptos" w:cs="Aptos"/>
          <w:noProof w:val="0"/>
          <w:sz w:val="24"/>
          <w:szCs w:val="24"/>
          <w:lang w:val="en-US"/>
        </w:rPr>
      </w:pPr>
    </w:p>
    <w:tbl>
      <w:tblPr>
        <w:tblStyle w:val="TableNormal"/>
        <w:bidiVisual w:val="0"/>
        <w:tblW w:w="0" w:type="auto"/>
        <w:tblLayout w:type="fixed"/>
        <w:tblLook w:val="04A0" w:firstRow="1" w:lastRow="0" w:firstColumn="1" w:lastColumn="0" w:noHBand="0" w:noVBand="1"/>
      </w:tblPr>
      <w:tblGrid>
        <w:gridCol w:w="1455"/>
        <w:gridCol w:w="1740"/>
        <w:gridCol w:w="4065"/>
        <w:gridCol w:w="2205"/>
      </w:tblGrid>
      <w:tr w:rsidR="010FBCF5" w:rsidTr="010FBCF5" w14:paraId="17598DF8">
        <w:trPr>
          <w:trHeight w:val="1050"/>
        </w:trPr>
        <w:tc>
          <w:tcPr>
            <w:tcW w:w="145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6C141DC0" w14:textId="29261D21">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Population</w:t>
            </w:r>
          </w:p>
        </w:tc>
        <w:tc>
          <w:tcPr>
            <w:tcW w:w="174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64B7AC7A" w14:textId="6E40715A">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Related HEDIS Measure</w:t>
            </w:r>
          </w:p>
        </w:tc>
        <w:tc>
          <w:tcPr>
            <w:tcW w:w="406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4D6DFD14" w14:textId="5D3A7716">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CGAG Supported Recommendations</w:t>
            </w:r>
          </w:p>
        </w:tc>
        <w:tc>
          <w:tcPr>
            <w:tcW w:w="220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4B5A3416" w14:textId="503F9DB3">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Source</w:t>
            </w:r>
          </w:p>
        </w:tc>
      </w:tr>
      <w:tr w:rsidR="010FBCF5" w:rsidTr="010FBCF5" w14:paraId="2EB5BFF6">
        <w:trPr>
          <w:trHeight w:val="300"/>
        </w:trPr>
        <w:tc>
          <w:tcPr>
            <w:tcW w:w="1455" w:type="dxa"/>
            <w:vMerge w:val="restart"/>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506CF0C5" w14:textId="6C8E0203">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Children</w:t>
            </w:r>
          </w:p>
        </w:tc>
        <w:tc>
          <w:tcPr>
            <w:tcW w:w="1740"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3B5FC958" w14:textId="44A26BD3">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Well Child Visits in the First 30 Months of Life (First 15 Months)</w:t>
            </w:r>
          </w:p>
        </w:tc>
        <w:tc>
          <w:tcPr>
            <w:tcW w:w="406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219157C2" w14:textId="5D5B578C">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Conduct well child visits as a newborn, at three to five days old, by one month, and then at two, four, six, nine, 12 and 15 months.</w:t>
            </w:r>
          </w:p>
        </w:tc>
        <w:tc>
          <w:tcPr>
            <w:tcW w:w="220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29F270A4" w14:textId="11739FD0">
            <w:pPr>
              <w:spacing w:before="0" w:beforeAutospacing="off" w:after="160" w:afterAutospacing="off" w:line="276" w:lineRule="auto"/>
              <w:jc w:val="left"/>
              <w:rPr>
                <w:rFonts w:ascii="Aptos" w:hAnsi="Aptos" w:eastAsia="Aptos" w:cs="Aptos"/>
                <w:color w:val="0563C1"/>
                <w:sz w:val="24"/>
                <w:szCs w:val="24"/>
                <w:u w:val="single"/>
              </w:rPr>
            </w:pPr>
            <w:hyperlink r:id="R137162bcd060494f">
              <w:r w:rsidRPr="010FBCF5" w:rsidR="010FBCF5">
                <w:rPr>
                  <w:rFonts w:ascii="Aptos" w:hAnsi="Aptos" w:eastAsia="Aptos" w:cs="Aptos"/>
                  <w:color w:val="0563C1"/>
                  <w:sz w:val="24"/>
                  <w:szCs w:val="24"/>
                  <w:u w:val="single"/>
                  <w:lang w:eastAsia="en-US" w:bidi="ar-SA"/>
                </w:rPr>
                <w:t>American Academy of Pediatrics (AAP) / Bright Futures (2024)</w:t>
              </w:r>
            </w:hyperlink>
          </w:p>
        </w:tc>
      </w:tr>
      <w:tr w:rsidR="010FBCF5" w:rsidTr="010FBCF5" w14:paraId="554F06D9">
        <w:trPr>
          <w:trHeight w:val="825"/>
        </w:trPr>
        <w:tc>
          <w:tcPr>
            <w:tcW w:w="1455" w:type="dxa"/>
            <w:vMerge/>
            <w:tcBorders>
              <w:top w:sz="0"/>
              <w:left w:val="single" w:color="FFFFFF" w:themeColor="background1" w:sz="0"/>
              <w:bottom w:sz="0"/>
              <w:right w:val="single" w:color="FFFFFF" w:themeColor="background1" w:sz="0"/>
            </w:tcBorders>
            <w:tcMar/>
            <w:vAlign w:val="center"/>
          </w:tcPr>
          <w:p w14:paraId="19EEC30D"/>
        </w:tc>
        <w:tc>
          <w:tcPr>
            <w:tcW w:w="174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12C0B234" w14:textId="2309B340">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Child and Adolescent Well Visits</w:t>
            </w:r>
          </w:p>
        </w:tc>
        <w:tc>
          <w:tcPr>
            <w:tcW w:w="406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0E156F46" w14:textId="4DB9C3E4">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Conduct annual well child visits for persons three to 21 years of age.</w:t>
            </w:r>
          </w:p>
        </w:tc>
        <w:tc>
          <w:tcPr>
            <w:tcW w:w="220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6DB15038" w14:textId="11C05792">
            <w:pPr>
              <w:spacing w:before="0" w:beforeAutospacing="off" w:after="160" w:afterAutospacing="off" w:line="276" w:lineRule="auto"/>
              <w:jc w:val="left"/>
              <w:rPr>
                <w:rFonts w:ascii="Aptos" w:hAnsi="Aptos" w:eastAsia="Aptos" w:cs="Aptos"/>
                <w:color w:val="0563C1"/>
                <w:sz w:val="24"/>
                <w:szCs w:val="24"/>
                <w:u w:val="single"/>
              </w:rPr>
            </w:pPr>
            <w:hyperlink r:id="Rbd4a0f9c87ee43bd">
              <w:r w:rsidRPr="010FBCF5" w:rsidR="010FBCF5">
                <w:rPr>
                  <w:rFonts w:ascii="Aptos" w:hAnsi="Aptos" w:eastAsia="Aptos" w:cs="Aptos"/>
                  <w:color w:val="0563C1"/>
                  <w:sz w:val="24"/>
                  <w:szCs w:val="24"/>
                  <w:u w:val="single"/>
                  <w:lang w:eastAsia="en-US" w:bidi="ar-SA"/>
                </w:rPr>
                <w:t>American Academy of Pediatrics (AAP) / Bright Futures (2024)</w:t>
              </w:r>
            </w:hyperlink>
          </w:p>
        </w:tc>
      </w:tr>
      <w:tr w:rsidR="010FBCF5" w:rsidTr="010FBCF5" w14:paraId="6667853B">
        <w:trPr>
          <w:trHeight w:val="300"/>
        </w:trPr>
        <w:tc>
          <w:tcPr>
            <w:tcW w:w="1455" w:type="dxa"/>
            <w:vMerge/>
            <w:tcBorders>
              <w:top w:val="single" w:color="FFFFFF" w:themeColor="background1" w:sz="0"/>
              <w:left w:val="single" w:color="FFFFFF" w:themeColor="background1" w:sz="0"/>
              <w:bottom w:val="single" w:color="FFFFFF" w:themeColor="background1" w:sz="0"/>
              <w:right w:val="single" w:color="FFFFFF" w:themeColor="background1" w:sz="0"/>
            </w:tcBorders>
            <w:tcMar/>
            <w:vAlign w:val="center"/>
          </w:tcPr>
          <w:p w14:paraId="4B2B6919"/>
        </w:tc>
        <w:tc>
          <w:tcPr>
            <w:tcW w:w="174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34084954" w14:textId="16089E06">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Immunizations for Adolescents</w:t>
            </w:r>
          </w:p>
        </w:tc>
        <w:tc>
          <w:tcPr>
            <w:tcW w:w="406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68BC79B1" w14:textId="45CBF6BE">
            <w:pPr>
              <w:pStyle w:val="ListParagraph"/>
              <w:numPr>
                <w:ilvl w:val="0"/>
                <w:numId w:val="23"/>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Tetanus, diphtheria, and pertussis (Tdap) vaccination. </w:t>
            </w:r>
          </w:p>
          <w:p w:rsidR="010FBCF5" w:rsidP="010FBCF5" w:rsidRDefault="010FBCF5" w14:paraId="1B0AAE47" w14:textId="3AC106F5">
            <w:pPr>
              <w:pStyle w:val="ListParagraph"/>
              <w:numPr>
                <w:ilvl w:val="0"/>
                <w:numId w:val="23"/>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Human papillomavirus vaccination (HPV). </w:t>
            </w:r>
          </w:p>
          <w:p w:rsidR="010FBCF5" w:rsidP="010FBCF5" w:rsidRDefault="010FBCF5" w14:paraId="710DDCD8" w14:textId="675642D1">
            <w:pPr>
              <w:pStyle w:val="ListParagraph"/>
              <w:numPr>
                <w:ilvl w:val="0"/>
                <w:numId w:val="23"/>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Meningococcal serogroup </w:t>
            </w:r>
            <w:r w:rsidRPr="010FBCF5" w:rsidR="010FBCF5">
              <w:rPr>
                <w:rFonts w:ascii="Aptos" w:hAnsi="Aptos" w:eastAsia="Aptos" w:cs="Aptos"/>
                <w:b w:val="0"/>
                <w:bCs w:val="0"/>
                <w:i w:val="0"/>
                <w:iCs w:val="0"/>
                <w:strike w:val="0"/>
                <w:dstrike w:val="0"/>
                <w:color w:val="000000" w:themeColor="text1" w:themeTint="FF" w:themeShade="FF"/>
                <w:sz w:val="24"/>
                <w:szCs w:val="24"/>
                <w:u w:val="none"/>
              </w:rPr>
              <w:t>A,C</w:t>
            </w:r>
            <w:r w:rsidRPr="010FBCF5" w:rsidR="010FBCF5">
              <w:rPr>
                <w:rFonts w:ascii="Aptos" w:hAnsi="Aptos" w:eastAsia="Aptos" w:cs="Aptos"/>
                <w:b w:val="0"/>
                <w:bCs w:val="0"/>
                <w:i w:val="0"/>
                <w:iCs w:val="0"/>
                <w:strike w:val="0"/>
                <w:dstrike w:val="0"/>
                <w:color w:val="000000" w:themeColor="text1" w:themeTint="FF" w:themeShade="FF"/>
                <w:sz w:val="24"/>
                <w:szCs w:val="24"/>
                <w:u w:val="none"/>
              </w:rPr>
              <w:t>,</w:t>
            </w:r>
            <w:r w:rsidRPr="010FBCF5" w:rsidR="010FBCF5">
              <w:rPr>
                <w:rFonts w:ascii="Aptos" w:hAnsi="Aptos" w:eastAsia="Aptos" w:cs="Aptos"/>
                <w:b w:val="0"/>
                <w:bCs w:val="0"/>
                <w:i w:val="0"/>
                <w:iCs w:val="0"/>
                <w:strike w:val="0"/>
                <w:dstrike w:val="0"/>
                <w:color w:val="000000" w:themeColor="text1" w:themeTint="FF" w:themeShade="FF"/>
                <w:sz w:val="24"/>
                <w:szCs w:val="24"/>
                <w:u w:val="none"/>
              </w:rPr>
              <w:t>W,Y</w:t>
            </w: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 vaccination. </w:t>
            </w:r>
          </w:p>
          <w:p w:rsidR="010FBCF5" w:rsidP="010FBCF5" w:rsidRDefault="010FBCF5" w14:paraId="785BA0A4" w14:textId="5B8D093B">
            <w:pPr>
              <w:spacing w:before="0" w:beforeAutospacing="off" w:after="160" w:afterAutospacing="off" w:line="276" w:lineRule="auto"/>
              <w:jc w:val="left"/>
              <w:rPr>
                <w:rFonts w:ascii="Aptos" w:hAnsi="Aptos" w:eastAsia="Aptos" w:cs="Aptos"/>
                <w:sz w:val="24"/>
                <w:szCs w:val="24"/>
              </w:rPr>
            </w:pPr>
            <w:hyperlink r:id="R14f5631a083e4bb3">
              <w:r w:rsidRPr="010FBCF5" w:rsidR="010FBCF5">
                <w:rPr>
                  <w:rStyle w:val="Hyperlink"/>
                  <w:rFonts w:ascii="Aptos" w:hAnsi="Aptos" w:eastAsia="Aptos" w:cs="Aptos"/>
                  <w:b w:val="0"/>
                  <w:bCs w:val="0"/>
                  <w:i w:val="0"/>
                  <w:iCs w:val="0"/>
                  <w:strike w:val="0"/>
                  <w:dstrike w:val="0"/>
                  <w:color w:val="000000" w:themeColor="text1" w:themeTint="FF" w:themeShade="FF"/>
                  <w:sz w:val="24"/>
                  <w:szCs w:val="24"/>
                  <w:u w:val="none"/>
                </w:rPr>
                <w:t>See Full Recommendation</w:t>
              </w:r>
            </w:hyperlink>
          </w:p>
        </w:tc>
        <w:tc>
          <w:tcPr>
            <w:tcW w:w="220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097901DA" w14:textId="73E81ED7">
            <w:pPr>
              <w:spacing w:before="0" w:beforeAutospacing="off" w:after="160" w:afterAutospacing="off" w:line="276" w:lineRule="auto"/>
              <w:jc w:val="left"/>
              <w:rPr>
                <w:rFonts w:ascii="Aptos" w:hAnsi="Aptos" w:eastAsia="Aptos" w:cs="Aptos"/>
                <w:color w:val="0563C1"/>
                <w:sz w:val="24"/>
                <w:szCs w:val="24"/>
                <w:u w:val="single"/>
              </w:rPr>
            </w:pPr>
            <w:hyperlink r:id="R2cd6287518bf49ed">
              <w:r w:rsidRPr="010FBCF5" w:rsidR="010FBCF5">
                <w:rPr>
                  <w:rFonts w:ascii="Aptos" w:hAnsi="Aptos" w:eastAsia="Aptos" w:cs="Aptos"/>
                  <w:color w:val="0563C1"/>
                  <w:sz w:val="24"/>
                  <w:szCs w:val="24"/>
                  <w:u w:val="single"/>
                  <w:lang w:eastAsia="en-US" w:bidi="ar-SA"/>
                </w:rPr>
                <w:t>Centers for Disease Control and Prevention/Advisory Committee on Immunization Practices (2024)</w:t>
              </w:r>
            </w:hyperlink>
          </w:p>
        </w:tc>
      </w:tr>
      <w:tr w:rsidR="010FBCF5" w:rsidTr="010FBCF5" w14:paraId="2C6EFB80">
        <w:trPr>
          <w:trHeight w:val="195"/>
        </w:trPr>
        <w:tc>
          <w:tcPr>
            <w:tcW w:w="145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6FA14039" w14:textId="2D11A1CC">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Population</w:t>
            </w:r>
          </w:p>
        </w:tc>
        <w:tc>
          <w:tcPr>
            <w:tcW w:w="174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4DAE7536" w14:textId="41CD9492">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Related HEDIS Measure</w:t>
            </w:r>
          </w:p>
        </w:tc>
        <w:tc>
          <w:tcPr>
            <w:tcW w:w="406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2A9362A1" w14:textId="1AE969D4">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CGAG Supported Recommendations</w:t>
            </w:r>
          </w:p>
        </w:tc>
        <w:tc>
          <w:tcPr>
            <w:tcW w:w="220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0BFD6A17" w14:textId="0637A5CB">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Source</w:t>
            </w:r>
          </w:p>
        </w:tc>
      </w:tr>
      <w:tr w:rsidR="010FBCF5" w:rsidTr="010FBCF5" w14:paraId="5E1EFAE1">
        <w:trPr>
          <w:trHeight w:val="1110"/>
        </w:trPr>
        <w:tc>
          <w:tcPr>
            <w:tcW w:w="1455" w:type="dxa"/>
            <w:vMerge w:val="restart"/>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549EB0E8" w14:textId="18E27BC1">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Pregnant People</w:t>
            </w:r>
          </w:p>
        </w:tc>
        <w:tc>
          <w:tcPr>
            <w:tcW w:w="1740"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43CA96F0" w14:textId="3391BD5F">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Prenatal and Postpartum Care (Prenatal)</w:t>
            </w:r>
          </w:p>
        </w:tc>
        <w:tc>
          <w:tcPr>
            <w:tcW w:w="406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2A7CBACD" w14:textId="6974CA13">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Ensure a prenatal care visit occurs 280 to 176 days prior to delivery (or estimated delivery date (</w:t>
            </w:r>
            <w:r w:rsidRPr="010FBCF5" w:rsidR="010FBCF5">
              <w:rPr>
                <w:rFonts w:ascii="Aptos" w:hAnsi="Aptos" w:eastAsia="Aptos" w:cs="Aptos"/>
                <w:b w:val="0"/>
                <w:bCs w:val="0"/>
                <w:i w:val="0"/>
                <w:iCs w:val="0"/>
                <w:strike w:val="0"/>
                <w:dstrike w:val="0"/>
                <w:color w:val="000000" w:themeColor="text1" w:themeTint="FF" w:themeShade="FF"/>
                <w:sz w:val="24"/>
                <w:szCs w:val="24"/>
                <w:u w:val="none"/>
              </w:rPr>
              <w:t>EDD))</w:t>
            </w: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 for pregnant persons.</w:t>
            </w:r>
          </w:p>
        </w:tc>
        <w:tc>
          <w:tcPr>
            <w:tcW w:w="220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603554CE" w14:textId="0F40250E">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National Committee for Quality Assurance (NCQA) Healthcare Effectiveness Data and Information Set (HEDIS) (2019)</w:t>
            </w:r>
          </w:p>
        </w:tc>
      </w:tr>
      <w:tr w:rsidR="010FBCF5" w:rsidTr="010FBCF5" w14:paraId="7DA92C1F">
        <w:trPr>
          <w:trHeight w:val="1740"/>
        </w:trPr>
        <w:tc>
          <w:tcPr>
            <w:tcW w:w="1455" w:type="dxa"/>
            <w:vMerge/>
            <w:tcBorders>
              <w:top w:sz="0"/>
              <w:left w:val="single" w:color="FFFFFF" w:themeColor="background1" w:sz="0"/>
              <w:bottom w:sz="0"/>
              <w:right w:val="single" w:color="FFFFFF" w:themeColor="background1" w:sz="0"/>
            </w:tcBorders>
            <w:tcMar/>
            <w:vAlign w:val="center"/>
          </w:tcPr>
          <w:p w14:paraId="6E8F0E71"/>
        </w:tc>
        <w:tc>
          <w:tcPr>
            <w:tcW w:w="174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6B096091" w14:textId="0B53F45A">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Prenatal and Postpartum Care (Postpartum)</w:t>
            </w:r>
          </w:p>
        </w:tc>
        <w:tc>
          <w:tcPr>
            <w:tcW w:w="406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2A05A39A" w14:textId="30032802">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For persons who have delivered a live birth in any setting, conduct a postpartum visit with a maternal care provider within </w:t>
            </w:r>
            <w:r w:rsidRPr="010FBCF5" w:rsidR="010FBCF5">
              <w:rPr>
                <w:rFonts w:ascii="Aptos" w:hAnsi="Aptos" w:eastAsia="Aptos" w:cs="Aptos"/>
                <w:b w:val="0"/>
                <w:bCs w:val="0"/>
                <w:i w:val="0"/>
                <w:iCs w:val="0"/>
                <w:strike w:val="0"/>
                <w:dstrike w:val="0"/>
                <w:color w:val="000000" w:themeColor="text1" w:themeTint="FF" w:themeShade="FF"/>
                <w:sz w:val="24"/>
                <w:szCs w:val="24"/>
                <w:u w:val="none"/>
              </w:rPr>
              <w:t>21 days</w:t>
            </w: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 of delivery. After the </w:t>
            </w:r>
            <w:r w:rsidRPr="010FBCF5" w:rsidR="010FBCF5">
              <w:rPr>
                <w:rFonts w:ascii="Aptos" w:hAnsi="Aptos" w:eastAsia="Aptos" w:cs="Aptos"/>
                <w:b w:val="0"/>
                <w:bCs w:val="0"/>
                <w:i w:val="0"/>
                <w:iCs w:val="0"/>
                <w:strike w:val="0"/>
                <w:dstrike w:val="0"/>
                <w:color w:val="000000" w:themeColor="text1" w:themeTint="FF" w:themeShade="FF"/>
                <w:sz w:val="24"/>
                <w:szCs w:val="24"/>
                <w:u w:val="none"/>
              </w:rPr>
              <w:t>initial</w:t>
            </w: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 visit, provide ongoing care as needed, concluding with a comprehensive postpartum visit no later than </w:t>
            </w:r>
            <w:r w:rsidRPr="010FBCF5" w:rsidR="010FBCF5">
              <w:rPr>
                <w:rFonts w:ascii="Aptos" w:hAnsi="Aptos" w:eastAsia="Aptos" w:cs="Aptos"/>
                <w:b w:val="0"/>
                <w:bCs w:val="0"/>
                <w:i w:val="0"/>
                <w:iCs w:val="0"/>
                <w:strike w:val="0"/>
                <w:dstrike w:val="0"/>
                <w:color w:val="000000" w:themeColor="text1" w:themeTint="FF" w:themeShade="FF"/>
                <w:sz w:val="24"/>
                <w:szCs w:val="24"/>
                <w:u w:val="none"/>
              </w:rPr>
              <w:t>12 weeks</w:t>
            </w: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 after birth.</w:t>
            </w:r>
          </w:p>
        </w:tc>
        <w:tc>
          <w:tcPr>
            <w:tcW w:w="220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76EE4699" w14:textId="3984FE03">
            <w:pPr>
              <w:pStyle w:val="Normal"/>
              <w:suppressLineNumbers w:val="0"/>
              <w:bidi w:val="0"/>
              <w:spacing w:before="0" w:beforeAutospacing="off" w:after="160" w:afterAutospacing="off" w:line="276" w:lineRule="auto"/>
              <w:ind w:left="0" w:right="0"/>
              <w:jc w:val="left"/>
              <w:rPr>
                <w:rFonts w:ascii="Aptos" w:hAnsi="Aptos" w:eastAsia="Aptos" w:cs="Aptos"/>
                <w:color w:val="0563C1"/>
                <w:sz w:val="24"/>
                <w:szCs w:val="24"/>
                <w:u w:val="single"/>
                <w:lang w:eastAsia="en-US" w:bidi="ar-SA"/>
              </w:rPr>
            </w:pPr>
            <w:hyperlink r:id="R42e0c523ba2d4633">
              <w:r w:rsidRPr="010FBCF5" w:rsidR="010FBCF5">
                <w:rPr>
                  <w:rFonts w:ascii="Aptos" w:hAnsi="Aptos" w:eastAsia="Aptos" w:cs="Aptos"/>
                  <w:color w:val="0563C1"/>
                  <w:sz w:val="24"/>
                  <w:szCs w:val="24"/>
                  <w:u w:val="single"/>
                  <w:lang w:eastAsia="en-US" w:bidi="ar-SA"/>
                </w:rPr>
                <w:t>American College of Obstetricians and Gynecologists (ACOG) (2018)</w:t>
              </w:r>
            </w:hyperlink>
          </w:p>
        </w:tc>
      </w:tr>
      <w:tr w:rsidR="010FBCF5" w:rsidTr="010FBCF5" w14:paraId="628EC782">
        <w:trPr>
          <w:trHeight w:val="2310"/>
        </w:trPr>
        <w:tc>
          <w:tcPr>
            <w:tcW w:w="1455" w:type="dxa"/>
            <w:vMerge/>
            <w:tcBorders>
              <w:top w:val="single" w:color="FFFFFF" w:themeColor="background1" w:sz="0"/>
              <w:left w:val="single" w:color="FFFFFF" w:themeColor="background1" w:sz="0"/>
              <w:bottom w:val="single" w:color="FFFFFF" w:themeColor="background1" w:sz="0"/>
              <w:right w:val="single" w:color="FFFFFF" w:themeColor="background1" w:sz="0"/>
            </w:tcBorders>
            <w:tcMar/>
            <w:vAlign w:val="center"/>
          </w:tcPr>
          <w:p w14:paraId="73221C8C"/>
        </w:tc>
        <w:tc>
          <w:tcPr>
            <w:tcW w:w="174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4F4754E0" w14:textId="4DFCADD4">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Perinatal Depression Screening and Follow-Up</w:t>
            </w:r>
          </w:p>
        </w:tc>
        <w:tc>
          <w:tcPr>
            <w:tcW w:w="406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64A7B0F2" w14:textId="22BD6BE3">
            <w:pPr>
              <w:pStyle w:val="ListParagraph"/>
              <w:numPr>
                <w:ilvl w:val="0"/>
                <w:numId w:val="22"/>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Prenatal depression screening is recommended in the first 12 weeks (Kaiser Permanente Southern California). </w:t>
            </w:r>
          </w:p>
          <w:p w:rsidR="010FBCF5" w:rsidP="010FBCF5" w:rsidRDefault="010FBCF5" w14:paraId="76D73DBA" w14:textId="407FD190">
            <w:pPr>
              <w:pStyle w:val="ListParagraph"/>
              <w:numPr>
                <w:ilvl w:val="0"/>
                <w:numId w:val="22"/>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Postpartum depression screening is recommended once during the postpartum period (ACOG). </w:t>
            </w:r>
          </w:p>
        </w:tc>
        <w:tc>
          <w:tcPr>
            <w:tcW w:w="220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706E6897" w14:textId="3F41920B">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Kaiser Permanente Southern California (November 2021)  </w:t>
            </w:r>
          </w:p>
          <w:p w:rsidR="010FBCF5" w:rsidP="010FBCF5" w:rsidRDefault="010FBCF5" w14:paraId="4156D28F" w14:textId="009A860D">
            <w:pPr>
              <w:pStyle w:val="Normal"/>
              <w:suppressLineNumbers w:val="0"/>
              <w:bidi w:val="0"/>
              <w:spacing w:before="0" w:beforeAutospacing="off" w:after="160" w:afterAutospacing="off" w:line="276" w:lineRule="auto"/>
              <w:ind w:left="0" w:right="0"/>
              <w:jc w:val="left"/>
              <w:rPr>
                <w:rFonts w:ascii="Aptos" w:hAnsi="Aptos" w:eastAsia="Aptos" w:cs="Aptos"/>
                <w:color w:val="0563C1"/>
                <w:sz w:val="24"/>
                <w:szCs w:val="24"/>
                <w:u w:val="single"/>
                <w:lang w:eastAsia="en-US" w:bidi="ar-SA"/>
              </w:rPr>
            </w:pPr>
            <w:hyperlink r:id="R4a4810cbb2b941d2">
              <w:r w:rsidRPr="010FBCF5" w:rsidR="010FBCF5">
                <w:rPr>
                  <w:rFonts w:ascii="Aptos" w:hAnsi="Aptos" w:eastAsia="Aptos" w:cs="Aptos"/>
                  <w:color w:val="0563C1"/>
                  <w:sz w:val="24"/>
                  <w:szCs w:val="24"/>
                  <w:u w:val="single"/>
                  <w:lang w:eastAsia="en-US" w:bidi="ar-SA"/>
                </w:rPr>
                <w:t>American College of Obstetricians and Gynecologists (ACOG) (2018)</w:t>
              </w:r>
            </w:hyperlink>
          </w:p>
        </w:tc>
      </w:tr>
      <w:tr w:rsidR="010FBCF5" w:rsidTr="010FBCF5" w14:paraId="19CEBACD">
        <w:trPr>
          <w:trHeight w:val="540"/>
        </w:trPr>
        <w:tc>
          <w:tcPr>
            <w:tcW w:w="145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4CDE9F18" w14:textId="308DC237">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Population</w:t>
            </w:r>
          </w:p>
        </w:tc>
        <w:tc>
          <w:tcPr>
            <w:tcW w:w="174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5C06B9B1" w14:textId="57B167A2">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Related HEDIS Measure</w:t>
            </w:r>
          </w:p>
        </w:tc>
        <w:tc>
          <w:tcPr>
            <w:tcW w:w="406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6583A45A" w14:textId="3284369B">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CGAG Supported Recommendations</w:t>
            </w:r>
          </w:p>
        </w:tc>
        <w:tc>
          <w:tcPr>
            <w:tcW w:w="220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48C86BA8" w14:textId="62A7D0FB">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Source</w:t>
            </w:r>
          </w:p>
        </w:tc>
      </w:tr>
      <w:tr w:rsidR="010FBCF5" w:rsidTr="010FBCF5" w14:paraId="21EEA969">
        <w:trPr>
          <w:trHeight w:val="4545"/>
        </w:trPr>
        <w:tc>
          <w:tcPr>
            <w:tcW w:w="1455" w:type="dxa"/>
            <w:vMerge w:val="restart"/>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00617F"/>
            <w:tcMar>
              <w:top w:w="26" w:type="dxa"/>
              <w:left w:w="26" w:type="dxa"/>
              <w:bottom w:w="26" w:type="dxa"/>
              <w:right w:w="26" w:type="dxa"/>
            </w:tcMar>
            <w:vAlign w:val="center"/>
          </w:tcPr>
          <w:p w:rsidR="7A8191B1" w:rsidP="010FBCF5" w:rsidRDefault="7A8191B1" w14:paraId="6D7091D0" w14:textId="0BE6EE02">
            <w:pPr>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7A8191B1">
              <w:rPr>
                <w:rFonts w:ascii="Aptos" w:hAnsi="Aptos" w:eastAsia="Aptos" w:cs="Aptos"/>
                <w:b w:val="1"/>
                <w:bCs w:val="1"/>
                <w:i w:val="0"/>
                <w:iCs w:val="0"/>
                <w:strike w:val="0"/>
                <w:dstrike w:val="0"/>
                <w:color w:val="FFFFFF" w:themeColor="background1" w:themeTint="FF" w:themeShade="FF"/>
                <w:sz w:val="24"/>
                <w:szCs w:val="24"/>
                <w:u w:val="none"/>
              </w:rPr>
              <w:t>Adults with Preventive Care Needs</w:t>
            </w:r>
          </w:p>
        </w:tc>
        <w:tc>
          <w:tcPr>
            <w:tcW w:w="1740"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29AA5828" w14:textId="3E6B2A44">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Breast Cancer Screening</w:t>
            </w:r>
          </w:p>
        </w:tc>
        <w:tc>
          <w:tcPr>
            <w:tcW w:w="406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0FA1E723" w14:textId="1735D157">
            <w:pPr>
              <w:pStyle w:val="ListParagraph"/>
              <w:numPr>
                <w:ilvl w:val="0"/>
                <w:numId w:val="24"/>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Biennial mammography screening is recommended for women aged 40 to 74 years (USPSTF). </w:t>
            </w:r>
          </w:p>
          <w:p w:rsidR="010FBCF5" w:rsidP="010FBCF5" w:rsidRDefault="010FBCF5" w14:paraId="39DD3320" w14:textId="50C03EE5">
            <w:pPr>
              <w:pStyle w:val="ListParagraph"/>
              <w:numPr>
                <w:ilvl w:val="0"/>
                <w:numId w:val="24"/>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Transmasculine individuals are recommended to follow the guidelines for cisgender women (USPSTF). </w:t>
            </w:r>
          </w:p>
          <w:p w:rsidR="010FBCF5" w:rsidP="010FBCF5" w:rsidRDefault="010FBCF5" w14:paraId="2D7BAA87" w14:textId="0E15AB72">
            <w:pPr>
              <w:pStyle w:val="ListParagraph"/>
              <w:numPr>
                <w:ilvl w:val="0"/>
                <w:numId w:val="24"/>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Risk assessment by age 25 is recommended to </w:t>
            </w:r>
            <w:r w:rsidRPr="010FBCF5" w:rsidR="010FBCF5">
              <w:rPr>
                <w:rFonts w:ascii="Aptos" w:hAnsi="Aptos" w:eastAsia="Aptos" w:cs="Aptos"/>
                <w:b w:val="0"/>
                <w:bCs w:val="0"/>
                <w:i w:val="0"/>
                <w:iCs w:val="0"/>
                <w:strike w:val="0"/>
                <w:dstrike w:val="0"/>
                <w:color w:val="000000" w:themeColor="text1" w:themeTint="FF" w:themeShade="FF"/>
                <w:sz w:val="24"/>
                <w:szCs w:val="24"/>
                <w:u w:val="none"/>
              </w:rPr>
              <w:t>determine</w:t>
            </w: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 if screening earlier than age 40 is needed (American College of Radiology/Society of Breast Imaging). </w:t>
            </w:r>
          </w:p>
        </w:tc>
        <w:tc>
          <w:tcPr>
            <w:tcW w:w="220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7ACA2A2D" w14:textId="172EE4B5">
            <w:pPr>
              <w:pStyle w:val="Normal"/>
              <w:suppressLineNumbers w:val="0"/>
              <w:bidi w:val="0"/>
              <w:spacing w:before="0" w:beforeAutospacing="off" w:after="160" w:afterAutospacing="off" w:line="276" w:lineRule="auto"/>
              <w:ind w:left="0" w:right="0"/>
              <w:jc w:val="left"/>
              <w:rPr>
                <w:rFonts w:ascii="Aptos" w:hAnsi="Aptos" w:eastAsia="Aptos" w:cs="Aptos"/>
                <w:color w:val="0563C1"/>
                <w:sz w:val="24"/>
                <w:szCs w:val="24"/>
                <w:u w:val="single"/>
                <w:lang w:eastAsia="en-US" w:bidi="ar-SA"/>
              </w:rPr>
            </w:pPr>
            <w:hyperlink r:id="Rd2e1b08953a04a4a">
              <w:r w:rsidRPr="010FBCF5" w:rsidR="010FBCF5">
                <w:rPr>
                  <w:rFonts w:ascii="Aptos" w:hAnsi="Aptos" w:eastAsia="Aptos" w:cs="Aptos"/>
                  <w:color w:val="0563C1"/>
                  <w:sz w:val="24"/>
                  <w:szCs w:val="24"/>
                  <w:u w:val="single"/>
                  <w:lang w:eastAsia="en-US" w:bidi="ar-SA"/>
                </w:rPr>
                <w:t>U</w:t>
              </w:r>
              <w:r w:rsidRPr="010FBCF5" w:rsidR="010FBCF5">
                <w:rPr>
                  <w:rFonts w:ascii="Aptos" w:hAnsi="Aptos" w:eastAsia="Aptos" w:cs="Aptos"/>
                  <w:color w:val="0563C1"/>
                  <w:sz w:val="24"/>
                  <w:szCs w:val="24"/>
                  <w:u w:val="single"/>
                  <w:lang w:eastAsia="en-US" w:bidi="ar-SA"/>
                </w:rPr>
                <w:t>nited</w:t>
              </w:r>
              <w:r w:rsidRPr="010FBCF5" w:rsidR="010FBCF5">
                <w:rPr>
                  <w:rFonts w:ascii="Aptos" w:hAnsi="Aptos" w:eastAsia="Aptos" w:cs="Aptos"/>
                  <w:color w:val="0563C1"/>
                  <w:sz w:val="24"/>
                  <w:szCs w:val="24"/>
                  <w:u w:val="single"/>
                  <w:lang w:eastAsia="en-US" w:bidi="ar-SA"/>
                </w:rPr>
                <w:t xml:space="preserve"> States Preventive Services Task Force (USPSTF) (2024) </w:t>
              </w:r>
            </w:hyperlink>
          </w:p>
          <w:p w:rsidR="010FBCF5" w:rsidP="010FBCF5" w:rsidRDefault="010FBCF5" w14:paraId="33DF3EE3" w14:textId="1170ED5B">
            <w:pPr>
              <w:spacing w:before="0" w:beforeAutospacing="off" w:after="160" w:afterAutospacing="off" w:line="276" w:lineRule="auto"/>
              <w:jc w:val="left"/>
              <w:rPr>
                <w:rFonts w:ascii="Aptos" w:hAnsi="Aptos" w:eastAsia="Aptos" w:cs="Aptos"/>
                <w:sz w:val="24"/>
                <w:szCs w:val="24"/>
              </w:rPr>
            </w:pPr>
            <w:hyperlink r:id="R084f09f172d1412d">
              <w:r w:rsidRPr="010FBCF5" w:rsidR="010FBCF5">
                <w:rPr>
                  <w:rFonts w:ascii="Aptos" w:hAnsi="Aptos" w:eastAsia="Aptos" w:cs="Aptos"/>
                  <w:color w:val="0563C1"/>
                  <w:sz w:val="24"/>
                  <w:szCs w:val="24"/>
                  <w:u w:val="single"/>
                  <w:lang w:eastAsia="en-US" w:bidi="ar-SA"/>
                </w:rPr>
                <w:t>American College of Radiology/Society of Breast Imaging (2023</w:t>
              </w:r>
              <w:r w:rsidRPr="010FBCF5" w:rsidR="010FBCF5">
                <w:rPr>
                  <w:rFonts w:ascii="Aptos" w:hAnsi="Aptos" w:eastAsia="Aptos" w:cs="Aptos"/>
                  <w:color w:val="0563C1"/>
                  <w:sz w:val="24"/>
                  <w:szCs w:val="24"/>
                  <w:u w:val="single"/>
                  <w:lang w:eastAsia="en-US" w:bidi="ar-SA"/>
                </w:rPr>
                <w:t>)</w:t>
              </w:r>
              <w:r w:rsidRPr="010FBCF5" w:rsidR="010FBCF5">
                <w:rPr>
                  <w:rStyle w:val="Hyperlink"/>
                  <w:rFonts w:ascii="Aptos" w:hAnsi="Aptos" w:eastAsia="Aptos" w:cs="Aptos"/>
                  <w:b w:val="0"/>
                  <w:bCs w:val="0"/>
                  <w:i w:val="0"/>
                  <w:iCs w:val="0"/>
                  <w:strike w:val="0"/>
                  <w:dstrike w:val="0"/>
                  <w:color w:val="000000" w:themeColor="text1" w:themeTint="FF" w:themeShade="FF"/>
                  <w:sz w:val="24"/>
                  <w:szCs w:val="24"/>
                  <w:u w:val="none"/>
                </w:rPr>
                <w:t xml:space="preserve"> </w:t>
              </w:r>
            </w:hyperlink>
          </w:p>
        </w:tc>
      </w:tr>
      <w:tr w:rsidR="010FBCF5" w:rsidTr="010FBCF5" w14:paraId="08F2EA29">
        <w:trPr>
          <w:trHeight w:val="1200"/>
        </w:trPr>
        <w:tc>
          <w:tcPr>
            <w:tcW w:w="1455" w:type="dxa"/>
            <w:vMerge/>
            <w:tcBorders>
              <w:top w:sz="0"/>
              <w:left w:val="single" w:color="FFFFFF" w:themeColor="background1" w:sz="0"/>
              <w:bottom w:sz="0"/>
              <w:right w:val="single" w:color="FFFFFF" w:themeColor="background1" w:sz="0"/>
            </w:tcBorders>
            <w:tcMar/>
            <w:vAlign w:val="center"/>
          </w:tcPr>
          <w:p w14:paraId="24CFBDB3"/>
        </w:tc>
        <w:tc>
          <w:tcPr>
            <w:tcW w:w="174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7494A895" w14:textId="349C1CBD">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Cervical Cancer Screening</w:t>
            </w:r>
          </w:p>
        </w:tc>
        <w:tc>
          <w:tcPr>
            <w:tcW w:w="406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7B429E32" w14:textId="16569BAC">
            <w:pPr>
              <w:pStyle w:val="ListParagraph"/>
              <w:numPr>
                <w:ilvl w:val="0"/>
                <w:numId w:val="25"/>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Screen women aged 21 to 65. </w:t>
            </w:r>
          </w:p>
          <w:p w:rsidR="010FBCF5" w:rsidP="010FBCF5" w:rsidRDefault="010FBCF5" w14:paraId="3302C588" w14:textId="44061605">
            <w:pPr>
              <w:pStyle w:val="ListParagraph"/>
              <w:numPr>
                <w:ilvl w:val="0"/>
                <w:numId w:val="25"/>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Recommends against screening in women younger than 21 years and for women who meet specific criteria.</w:t>
            </w:r>
          </w:p>
        </w:tc>
        <w:tc>
          <w:tcPr>
            <w:tcW w:w="220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5BD1CED6" w14:textId="530EF145">
            <w:pPr>
              <w:pStyle w:val="Normal"/>
              <w:suppressLineNumbers w:val="0"/>
              <w:bidi w:val="0"/>
              <w:spacing w:before="0" w:beforeAutospacing="off" w:after="160" w:afterAutospacing="off" w:line="276" w:lineRule="auto"/>
              <w:ind w:left="0" w:right="0"/>
              <w:jc w:val="left"/>
              <w:rPr>
                <w:rFonts w:ascii="Aptos" w:hAnsi="Aptos" w:eastAsia="Aptos" w:cs="Aptos"/>
                <w:color w:val="0563C1"/>
                <w:sz w:val="24"/>
                <w:szCs w:val="24"/>
                <w:u w:val="single"/>
                <w:lang w:eastAsia="en-US" w:bidi="ar-SA"/>
              </w:rPr>
            </w:pPr>
            <w:hyperlink r:id="R274637a7af6a45ed">
              <w:r w:rsidRPr="010FBCF5" w:rsidR="010FBCF5">
                <w:rPr>
                  <w:rFonts w:ascii="Aptos" w:hAnsi="Aptos" w:eastAsia="Aptos" w:cs="Aptos"/>
                  <w:color w:val="0563C1"/>
                  <w:sz w:val="24"/>
                  <w:szCs w:val="24"/>
                  <w:u w:val="single"/>
                  <w:lang w:eastAsia="en-US" w:bidi="ar-SA"/>
                </w:rPr>
                <w:t>United States Preventive Services Task Force (USPSTF)(2018 - update in progress)</w:t>
              </w:r>
            </w:hyperlink>
          </w:p>
        </w:tc>
      </w:tr>
      <w:tr w:rsidR="010FBCF5" w:rsidTr="010FBCF5" w14:paraId="38D3306B">
        <w:trPr>
          <w:trHeight w:val="5400"/>
        </w:trPr>
        <w:tc>
          <w:tcPr>
            <w:tcW w:w="1455" w:type="dxa"/>
            <w:vMerge/>
            <w:tcBorders>
              <w:top w:val="single" w:color="FFFFFF" w:themeColor="background1" w:sz="0"/>
              <w:left w:val="single" w:color="FFFFFF" w:themeColor="background1" w:sz="0"/>
              <w:bottom w:val="single" w:color="FFFFFF" w:themeColor="background1" w:sz="0"/>
              <w:right w:val="single" w:color="FFFFFF" w:themeColor="background1" w:sz="0"/>
            </w:tcBorders>
            <w:tcMar/>
            <w:vAlign w:val="center"/>
          </w:tcPr>
          <w:p w14:paraId="56D2844A"/>
        </w:tc>
        <w:tc>
          <w:tcPr>
            <w:tcW w:w="174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3D184B7B" w14:textId="6F7F6551">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Colorectal Cancer Screening</w:t>
            </w:r>
          </w:p>
        </w:tc>
        <w:tc>
          <w:tcPr>
            <w:tcW w:w="406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13839408" w14:textId="6C661F92">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Conduct a colorectal cancer screening for persons aged 45 to 75 using any of the following screening modalities and intervals:</w:t>
            </w:r>
          </w:p>
          <w:p w:rsidR="010FBCF5" w:rsidP="010FBCF5" w:rsidRDefault="010FBCF5" w14:paraId="0D81C8AE" w14:textId="759DEC78">
            <w:pPr>
              <w:pStyle w:val="ListParagraph"/>
              <w:numPr>
                <w:ilvl w:val="0"/>
                <w:numId w:val="26"/>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High-sensitivity guaiac-based fecal occult blood test (</w:t>
            </w:r>
            <w:r w:rsidRPr="010FBCF5" w:rsidR="010FBCF5">
              <w:rPr>
                <w:rFonts w:ascii="Aptos" w:hAnsi="Aptos" w:eastAsia="Aptos" w:cs="Aptos"/>
                <w:b w:val="0"/>
                <w:bCs w:val="0"/>
                <w:i w:val="0"/>
                <w:iCs w:val="0"/>
                <w:strike w:val="0"/>
                <w:dstrike w:val="0"/>
                <w:color w:val="000000" w:themeColor="text1" w:themeTint="FF" w:themeShade="FF"/>
                <w:sz w:val="24"/>
                <w:szCs w:val="24"/>
                <w:u w:val="none"/>
              </w:rPr>
              <w:t>gFOBT</w:t>
            </w:r>
            <w:r w:rsidRPr="010FBCF5" w:rsidR="010FBCF5">
              <w:rPr>
                <w:rFonts w:ascii="Aptos" w:hAnsi="Aptos" w:eastAsia="Aptos" w:cs="Aptos"/>
                <w:b w:val="0"/>
                <w:bCs w:val="0"/>
                <w:i w:val="0"/>
                <w:iCs w:val="0"/>
                <w:strike w:val="0"/>
                <w:dstrike w:val="0"/>
                <w:color w:val="000000" w:themeColor="text1" w:themeTint="FF" w:themeShade="FF"/>
                <w:sz w:val="24"/>
                <w:szCs w:val="24"/>
                <w:u w:val="none"/>
              </w:rPr>
              <w:t>) or fecal immunochemical test (FIT) every year.</w:t>
            </w:r>
          </w:p>
          <w:p w:rsidR="010FBCF5" w:rsidP="010FBCF5" w:rsidRDefault="010FBCF5" w14:paraId="28B5B09D" w14:textId="00690C28">
            <w:pPr>
              <w:pStyle w:val="ListParagraph"/>
              <w:numPr>
                <w:ilvl w:val="0"/>
                <w:numId w:val="26"/>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Stool DNA test with FIT (</w:t>
            </w:r>
            <w:r w:rsidRPr="010FBCF5" w:rsidR="010FBCF5">
              <w:rPr>
                <w:rFonts w:ascii="Aptos" w:hAnsi="Aptos" w:eastAsia="Aptos" w:cs="Aptos"/>
                <w:b w:val="0"/>
                <w:bCs w:val="0"/>
                <w:i w:val="0"/>
                <w:iCs w:val="0"/>
                <w:strike w:val="0"/>
                <w:dstrike w:val="0"/>
                <w:color w:val="000000" w:themeColor="text1" w:themeTint="FF" w:themeShade="FF"/>
                <w:sz w:val="24"/>
                <w:szCs w:val="24"/>
                <w:u w:val="none"/>
              </w:rPr>
              <w:t>sDNA</w:t>
            </w:r>
            <w:r w:rsidRPr="010FBCF5" w:rsidR="010FBCF5">
              <w:rPr>
                <w:rFonts w:ascii="Aptos" w:hAnsi="Aptos" w:eastAsia="Aptos" w:cs="Aptos"/>
                <w:b w:val="0"/>
                <w:bCs w:val="0"/>
                <w:i w:val="0"/>
                <w:iCs w:val="0"/>
                <w:strike w:val="0"/>
                <w:dstrike w:val="0"/>
                <w:color w:val="000000" w:themeColor="text1" w:themeTint="FF" w:themeShade="FF"/>
                <w:sz w:val="24"/>
                <w:szCs w:val="24"/>
                <w:u w:val="none"/>
              </w:rPr>
              <w:t>-FIT) every one to three years.</w:t>
            </w:r>
          </w:p>
          <w:p w:rsidR="010FBCF5" w:rsidP="010FBCF5" w:rsidRDefault="010FBCF5" w14:paraId="404ECF80" w14:textId="0C4385DC">
            <w:pPr>
              <w:pStyle w:val="ListParagraph"/>
              <w:numPr>
                <w:ilvl w:val="0"/>
                <w:numId w:val="26"/>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Computed tomography (CT) colonography every five years.</w:t>
            </w:r>
          </w:p>
          <w:p w:rsidR="010FBCF5" w:rsidP="010FBCF5" w:rsidRDefault="010FBCF5" w14:paraId="272942B6" w14:textId="3592A47B">
            <w:pPr>
              <w:pStyle w:val="ListParagraph"/>
              <w:numPr>
                <w:ilvl w:val="0"/>
                <w:numId w:val="26"/>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Flexible sigmoidoscopy every five years. </w:t>
            </w:r>
          </w:p>
          <w:p w:rsidR="010FBCF5" w:rsidP="010FBCF5" w:rsidRDefault="010FBCF5" w14:paraId="5EAAEBF8" w14:textId="30FD3D8A">
            <w:pPr>
              <w:pStyle w:val="ListParagraph"/>
              <w:numPr>
                <w:ilvl w:val="0"/>
                <w:numId w:val="26"/>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Flexible sigmoidoscopy every 10 years and FIT every year.</w:t>
            </w:r>
          </w:p>
          <w:p w:rsidR="010FBCF5" w:rsidP="010FBCF5" w:rsidRDefault="010FBCF5" w14:paraId="59293982" w14:textId="4E73B1E4">
            <w:pPr>
              <w:pStyle w:val="ListParagraph"/>
              <w:numPr>
                <w:ilvl w:val="0"/>
                <w:numId w:val="26"/>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Colonoscopy every 10 years.</w:t>
            </w:r>
          </w:p>
        </w:tc>
        <w:tc>
          <w:tcPr>
            <w:tcW w:w="220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59E879C5" w14:textId="39B7E4E8">
            <w:pPr>
              <w:pStyle w:val="Normal"/>
              <w:suppressLineNumbers w:val="0"/>
              <w:bidi w:val="0"/>
              <w:spacing w:before="0" w:beforeAutospacing="off" w:after="160" w:afterAutospacing="off" w:line="276" w:lineRule="auto"/>
              <w:ind w:left="0" w:right="0"/>
              <w:jc w:val="left"/>
              <w:rPr>
                <w:rFonts w:ascii="Aptos" w:hAnsi="Aptos" w:eastAsia="Aptos" w:cs="Aptos"/>
                <w:color w:val="0563C1"/>
                <w:sz w:val="24"/>
                <w:szCs w:val="24"/>
                <w:u w:val="single"/>
                <w:lang w:eastAsia="en-US" w:bidi="ar-SA"/>
              </w:rPr>
            </w:pPr>
            <w:hyperlink r:id="R3bd265785ff54196">
              <w:r w:rsidRPr="010FBCF5" w:rsidR="010FBCF5">
                <w:rPr>
                  <w:rFonts w:ascii="Aptos" w:hAnsi="Aptos" w:eastAsia="Aptos" w:cs="Aptos"/>
                  <w:color w:val="0563C1"/>
                  <w:sz w:val="24"/>
                  <w:szCs w:val="24"/>
                  <w:u w:val="single"/>
                  <w:lang w:eastAsia="en-US" w:bidi="ar-SA"/>
                </w:rPr>
                <w:t>United States Preventive Services Task Force (USPSTF)</w:t>
              </w:r>
            </w:hyperlink>
          </w:p>
        </w:tc>
      </w:tr>
      <w:tr w:rsidR="010FBCF5" w:rsidTr="010FBCF5" w14:paraId="34A9EB58">
        <w:trPr>
          <w:trHeight w:val="285"/>
        </w:trPr>
        <w:tc>
          <w:tcPr>
            <w:tcW w:w="145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5408BBF1" w14:textId="1619475D">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Population</w:t>
            </w:r>
          </w:p>
        </w:tc>
        <w:tc>
          <w:tcPr>
            <w:tcW w:w="174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64D02348" w14:textId="3A9B462B">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Related HEDIS Measure</w:t>
            </w:r>
          </w:p>
        </w:tc>
        <w:tc>
          <w:tcPr>
            <w:tcW w:w="406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6E1FF8FB" w14:textId="2CF76300">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CGAG Supported Recommendations</w:t>
            </w:r>
          </w:p>
        </w:tc>
        <w:tc>
          <w:tcPr>
            <w:tcW w:w="220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5CB73A5E" w14:textId="15BF4762">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Source</w:t>
            </w:r>
          </w:p>
        </w:tc>
      </w:tr>
      <w:tr w:rsidR="010FBCF5" w:rsidTr="010FBCF5" w14:paraId="62D53E7D">
        <w:trPr>
          <w:trHeight w:val="300"/>
        </w:trPr>
        <w:tc>
          <w:tcPr>
            <w:tcW w:w="1455" w:type="dxa"/>
            <w:vMerge w:val="restart"/>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2F3CDE16" w14:textId="2644AE13">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Adults Living with Chronic Conditions</w:t>
            </w:r>
          </w:p>
        </w:tc>
        <w:tc>
          <w:tcPr>
            <w:tcW w:w="1740"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6D35F455" w14:textId="7200D15D">
            <w:pPr>
              <w:spacing w:before="0" w:beforeAutospacing="off" w:after="160" w:afterAutospacing="off"/>
              <w:jc w:val="center"/>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Controlling High Blood Pressure</w:t>
            </w:r>
          </w:p>
        </w:tc>
        <w:tc>
          <w:tcPr>
            <w:tcW w:w="406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56FD21E0" w14:textId="466E6E18">
            <w:pPr>
              <w:spacing w:before="0" w:beforeAutospacing="off" w:after="160" w:afterAutospacing="off"/>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Follow recommended guidelines respectively for each element of blood pressure control:</w:t>
            </w:r>
          </w:p>
          <w:p w:rsidR="010FBCF5" w:rsidP="010FBCF5" w:rsidRDefault="010FBCF5" w14:paraId="106F4157" w14:textId="6EDFEE9A">
            <w:pPr>
              <w:pStyle w:val="ListParagraph"/>
              <w:numPr>
                <w:ilvl w:val="0"/>
                <w:numId w:val="27"/>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Blood pressure screening.</w:t>
            </w:r>
          </w:p>
          <w:p w:rsidR="010FBCF5" w:rsidP="010FBCF5" w:rsidRDefault="010FBCF5" w14:paraId="0DF402A2" w14:textId="58D025CF">
            <w:pPr>
              <w:pStyle w:val="ListParagraph"/>
              <w:numPr>
                <w:ilvl w:val="0"/>
                <w:numId w:val="27"/>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Hypertension definition.</w:t>
            </w:r>
          </w:p>
          <w:p w:rsidR="010FBCF5" w:rsidP="010FBCF5" w:rsidRDefault="010FBCF5" w14:paraId="570CA778" w14:textId="047DCA46">
            <w:pPr>
              <w:pStyle w:val="ListParagraph"/>
              <w:numPr>
                <w:ilvl w:val="0"/>
                <w:numId w:val="27"/>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Treatment initiation.</w:t>
            </w:r>
          </w:p>
          <w:p w:rsidR="010FBCF5" w:rsidP="010FBCF5" w:rsidRDefault="010FBCF5" w14:paraId="7DF2EFF5" w14:textId="69C7700A">
            <w:pPr>
              <w:pStyle w:val="ListParagraph"/>
              <w:numPr>
                <w:ilvl w:val="0"/>
                <w:numId w:val="27"/>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Treatment target.</w:t>
            </w:r>
          </w:p>
          <w:p w:rsidR="010FBCF5" w:rsidP="010FBCF5" w:rsidRDefault="010FBCF5" w14:paraId="32D9C384" w14:textId="4E9416EE">
            <w:pPr>
              <w:pStyle w:val="ListParagraph"/>
              <w:numPr>
                <w:ilvl w:val="0"/>
                <w:numId w:val="27"/>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Initial pharmacotherapy.</w:t>
            </w:r>
          </w:p>
          <w:p w:rsidR="010FBCF5" w:rsidP="010FBCF5" w:rsidRDefault="010FBCF5" w14:paraId="19EC6785" w14:textId="0EA6D918">
            <w:pPr>
              <w:pStyle w:val="ListParagraph"/>
              <w:numPr>
                <w:ilvl w:val="0"/>
                <w:numId w:val="27"/>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Follow-up</w:t>
            </w:r>
            <w:r w:rsidRPr="010FBCF5" w:rsidR="010FBCF5">
              <w:rPr>
                <w:rFonts w:ascii="Aptos" w:hAnsi="Aptos" w:eastAsia="Aptos" w:cs="Aptos"/>
                <w:b w:val="0"/>
                <w:bCs w:val="0"/>
                <w:i w:val="0"/>
                <w:iCs w:val="0"/>
                <w:strike w:val="0"/>
                <w:dstrike w:val="0"/>
                <w:color w:val="000000" w:themeColor="text1" w:themeTint="FF" w:themeShade="FF"/>
                <w:sz w:val="24"/>
                <w:szCs w:val="24"/>
                <w:u w:val="none"/>
              </w:rPr>
              <w:t>.</w:t>
            </w:r>
          </w:p>
        </w:tc>
        <w:tc>
          <w:tcPr>
            <w:tcW w:w="220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3D365C72" w14:textId="08658E0E">
            <w:pPr>
              <w:spacing w:before="0" w:beforeAutospacing="off" w:after="160" w:afterAutospacing="off"/>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Kaiser Permanente National Guideline Program (February 2021)</w:t>
            </w:r>
          </w:p>
        </w:tc>
      </w:tr>
      <w:tr w:rsidR="010FBCF5" w:rsidTr="010FBCF5" w14:paraId="6ACBC579">
        <w:trPr>
          <w:trHeight w:val="4080"/>
        </w:trPr>
        <w:tc>
          <w:tcPr>
            <w:tcW w:w="1455" w:type="dxa"/>
            <w:vMerge/>
            <w:tcBorders>
              <w:top w:val="single" w:color="FFFFFF" w:themeColor="background1" w:sz="0"/>
              <w:left w:val="single" w:color="FFFFFF" w:themeColor="background1" w:sz="0"/>
              <w:bottom w:val="single" w:color="FFFFFF" w:themeColor="background1" w:sz="0"/>
              <w:right w:val="single" w:color="FFFFFF" w:themeColor="background1" w:sz="0"/>
            </w:tcBorders>
            <w:tcMar/>
            <w:vAlign w:val="center"/>
          </w:tcPr>
          <w:p w14:paraId="7FE01EEB"/>
        </w:tc>
        <w:tc>
          <w:tcPr>
            <w:tcW w:w="174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20451A2D" w14:textId="05D50EF0">
            <w:pPr>
              <w:spacing w:before="0" w:beforeAutospacing="off" w:after="160" w:afterAutospacing="off"/>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Hemoglobin A1c Control for Patients with Diabetes (Poor Control &gt;9%) (HBD)</w:t>
            </w:r>
          </w:p>
        </w:tc>
        <w:tc>
          <w:tcPr>
            <w:tcW w:w="406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01F3FD58" w14:textId="1B360406">
            <w:pPr>
              <w:spacing w:before="0" w:beforeAutospacing="off" w:after="160" w:afterAutospacing="off"/>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Follow recommended guidelines respectively for each element of diabetes control:</w:t>
            </w:r>
          </w:p>
          <w:p w:rsidR="010FBCF5" w:rsidP="010FBCF5" w:rsidRDefault="010FBCF5" w14:paraId="09B15C7C" w14:textId="04CDABF5">
            <w:pPr>
              <w:pStyle w:val="ListParagraph"/>
              <w:numPr>
                <w:ilvl w:val="0"/>
                <w:numId w:val="28"/>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Screening (</w:t>
            </w:r>
            <w:r w:rsidRPr="010FBCF5" w:rsidR="010FBCF5">
              <w:rPr>
                <w:rFonts w:ascii="Aptos" w:hAnsi="Aptos" w:eastAsia="Aptos" w:cs="Aptos"/>
                <w:b w:val="0"/>
                <w:bCs w:val="0"/>
                <w:i w:val="0"/>
                <w:iCs w:val="0"/>
                <w:strike w:val="0"/>
                <w:dstrike w:val="0"/>
                <w:color w:val="000000" w:themeColor="text1" w:themeTint="FF" w:themeShade="FF"/>
                <w:sz w:val="24"/>
                <w:szCs w:val="24"/>
                <w:u w:val="none"/>
              </w:rPr>
              <w:t>USPSTF).</w:t>
            </w:r>
          </w:p>
          <w:p w:rsidR="010FBCF5" w:rsidP="010FBCF5" w:rsidRDefault="010FBCF5" w14:paraId="1454C07C" w14:textId="14314561">
            <w:pPr>
              <w:pStyle w:val="ListParagraph"/>
              <w:numPr>
                <w:ilvl w:val="0"/>
                <w:numId w:val="28"/>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Diagnosis (ADA).</w:t>
            </w:r>
          </w:p>
          <w:p w:rsidR="010FBCF5" w:rsidP="010FBCF5" w:rsidRDefault="010FBCF5" w14:paraId="7DD398B1" w14:textId="1784EB6B">
            <w:pPr>
              <w:pStyle w:val="ListParagraph"/>
              <w:numPr>
                <w:ilvl w:val="0"/>
                <w:numId w:val="28"/>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Glycemic control and treatment target (Kaiser Permanente National Guideline Program).</w:t>
            </w:r>
          </w:p>
          <w:p w:rsidR="010FBCF5" w:rsidP="010FBCF5" w:rsidRDefault="010FBCF5" w14:paraId="1AAC5C2E" w14:textId="26CAFBE0">
            <w:pPr>
              <w:pStyle w:val="ListParagraph"/>
              <w:numPr>
                <w:ilvl w:val="0"/>
                <w:numId w:val="28"/>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Self-monitoring: blood glucose (ADA).</w:t>
            </w:r>
          </w:p>
          <w:p w:rsidR="010FBCF5" w:rsidP="010FBCF5" w:rsidRDefault="010FBCF5" w14:paraId="173B4910" w14:textId="1F6EC446">
            <w:pPr>
              <w:pStyle w:val="ListParagraph"/>
              <w:numPr>
                <w:ilvl w:val="0"/>
                <w:numId w:val="28"/>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Self-monitoring: continuous glucose monitoring (ADA).</w:t>
            </w:r>
          </w:p>
          <w:p w:rsidR="010FBCF5" w:rsidP="010FBCF5" w:rsidRDefault="010FBCF5" w14:paraId="5167ED12" w14:textId="6730A3E1">
            <w:pPr>
              <w:pStyle w:val="ListParagraph"/>
              <w:numPr>
                <w:ilvl w:val="0"/>
                <w:numId w:val="28"/>
              </w:numPr>
              <w:tabs>
                <w:tab w:val="left" w:leader="none" w:pos="720"/>
              </w:tabs>
              <w:spacing w:before="0" w:beforeAutospacing="off" w:after="160" w:afterAutospacing="off"/>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Initial pharmacotherapy (ADA).</w:t>
            </w:r>
          </w:p>
        </w:tc>
        <w:tc>
          <w:tcPr>
            <w:tcW w:w="220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52650797" w14:textId="575D0CAB">
            <w:pPr>
              <w:pStyle w:val="Normal"/>
              <w:suppressLineNumbers w:val="0"/>
              <w:bidi w:val="0"/>
              <w:spacing w:before="0" w:beforeAutospacing="off" w:after="160" w:afterAutospacing="off" w:line="276" w:lineRule="auto"/>
              <w:ind w:left="0" w:right="0"/>
              <w:jc w:val="left"/>
              <w:rPr>
                <w:rFonts w:ascii="Aptos" w:hAnsi="Aptos" w:eastAsia="Aptos" w:cs="Aptos"/>
                <w:color w:val="0563C1"/>
                <w:sz w:val="24"/>
                <w:szCs w:val="24"/>
                <w:u w:val="single"/>
                <w:lang w:eastAsia="en-US" w:bidi="ar-SA"/>
              </w:rPr>
            </w:pPr>
            <w:hyperlink r:id="R909b552e459346d3">
              <w:r w:rsidRPr="010FBCF5" w:rsidR="010FBCF5">
                <w:rPr>
                  <w:rFonts w:ascii="Aptos" w:hAnsi="Aptos" w:eastAsia="Aptos" w:cs="Aptos"/>
                  <w:color w:val="0563C1"/>
                  <w:sz w:val="24"/>
                  <w:szCs w:val="24"/>
                  <w:u w:val="single"/>
                  <w:lang w:eastAsia="en-US" w:bidi="ar-SA"/>
                </w:rPr>
                <w:t>USPSTF (2021)</w:t>
              </w:r>
            </w:hyperlink>
          </w:p>
          <w:p w:rsidR="010FBCF5" w:rsidP="010FBCF5" w:rsidRDefault="010FBCF5" w14:paraId="0D9E1D7D" w14:textId="6DE976A5">
            <w:pPr>
              <w:pStyle w:val="Normal"/>
              <w:suppressLineNumbers w:val="0"/>
              <w:bidi w:val="0"/>
              <w:spacing w:before="0" w:beforeAutospacing="off" w:after="160" w:afterAutospacing="off" w:line="276" w:lineRule="auto"/>
              <w:ind w:left="0" w:right="0"/>
              <w:jc w:val="left"/>
              <w:rPr>
                <w:rFonts w:ascii="Aptos" w:hAnsi="Aptos" w:eastAsia="Aptos" w:cs="Aptos"/>
                <w:color w:val="0563C1"/>
                <w:sz w:val="24"/>
                <w:szCs w:val="24"/>
                <w:u w:val="single"/>
                <w:lang w:eastAsia="en-US" w:bidi="ar-SA"/>
              </w:rPr>
            </w:pPr>
            <w:hyperlink r:id="R2bd1bdc17d5e4974">
              <w:r w:rsidRPr="010FBCF5" w:rsidR="010FBCF5">
                <w:rPr>
                  <w:rFonts w:ascii="Aptos" w:hAnsi="Aptos" w:eastAsia="Aptos" w:cs="Aptos"/>
                  <w:color w:val="0563C1"/>
                  <w:sz w:val="24"/>
                  <w:szCs w:val="24"/>
                  <w:u w:val="single"/>
                  <w:lang w:eastAsia="en-US" w:bidi="ar-SA"/>
                </w:rPr>
                <w:t>American Diabetes Association (ADA) (2023)</w:t>
              </w:r>
            </w:hyperlink>
          </w:p>
          <w:p w:rsidR="010FBCF5" w:rsidP="010FBCF5" w:rsidRDefault="010FBCF5" w14:paraId="7EFF1549" w14:textId="3DE0836F">
            <w:pPr>
              <w:spacing w:before="0" w:beforeAutospacing="off" w:after="160" w:afterAutospacing="off"/>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Kaiser Permanente National Guideline Program (April 2022)</w:t>
            </w:r>
          </w:p>
        </w:tc>
      </w:tr>
      <w:tr w:rsidR="010FBCF5" w:rsidTr="010FBCF5" w14:paraId="43EE0D83">
        <w:trPr>
          <w:trHeight w:val="300"/>
        </w:trPr>
        <w:tc>
          <w:tcPr>
            <w:tcW w:w="145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15A0EA16" w14:textId="05257D0D">
            <w:pPr>
              <w:pStyle w:val="Normal"/>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Population</w:t>
            </w:r>
          </w:p>
        </w:tc>
        <w:tc>
          <w:tcPr>
            <w:tcW w:w="174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770C4B0B" w14:textId="2224BA0E">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Related HEDIS Measure</w:t>
            </w:r>
          </w:p>
        </w:tc>
        <w:tc>
          <w:tcPr>
            <w:tcW w:w="406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490BCB1B" w14:textId="53D7EC8D">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CGAG Supported Recommendations</w:t>
            </w:r>
          </w:p>
        </w:tc>
        <w:tc>
          <w:tcPr>
            <w:tcW w:w="220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00617F"/>
            <w:tcMar>
              <w:top w:w="26" w:type="dxa"/>
              <w:left w:w="26" w:type="dxa"/>
              <w:bottom w:w="26" w:type="dxa"/>
              <w:right w:w="26" w:type="dxa"/>
            </w:tcMar>
            <w:vAlign w:val="center"/>
          </w:tcPr>
          <w:p w:rsidR="010FBCF5" w:rsidP="010FBCF5" w:rsidRDefault="010FBCF5" w14:paraId="6924B3A4" w14:textId="7C231049">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010FBCF5">
              <w:rPr>
                <w:rFonts w:ascii="Aptos" w:hAnsi="Aptos" w:eastAsia="Aptos" w:cs="Aptos"/>
                <w:b w:val="1"/>
                <w:bCs w:val="1"/>
                <w:i w:val="0"/>
                <w:iCs w:val="0"/>
                <w:strike w:val="0"/>
                <w:dstrike w:val="0"/>
                <w:color w:val="FFFFFF" w:themeColor="background1" w:themeTint="FF" w:themeShade="FF"/>
                <w:sz w:val="24"/>
                <w:szCs w:val="24"/>
                <w:u w:val="none"/>
              </w:rPr>
              <w:t>Source</w:t>
            </w:r>
          </w:p>
        </w:tc>
      </w:tr>
      <w:tr w:rsidR="010FBCF5" w:rsidTr="010FBCF5" w14:paraId="49CE03B6">
        <w:trPr>
          <w:trHeight w:val="300"/>
        </w:trPr>
        <w:tc>
          <w:tcPr>
            <w:tcW w:w="1455" w:type="dxa"/>
            <w:vMerge w:val="restart"/>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00617F"/>
            <w:tcMar>
              <w:top w:w="26" w:type="dxa"/>
              <w:left w:w="26" w:type="dxa"/>
              <w:bottom w:w="26" w:type="dxa"/>
              <w:right w:w="26" w:type="dxa"/>
            </w:tcMar>
            <w:vAlign w:val="center"/>
          </w:tcPr>
          <w:p w:rsidR="2A1848FE" w:rsidP="010FBCF5" w:rsidRDefault="2A1848FE" w14:paraId="5F29FDB3" w14:textId="0625F89F">
            <w:pPr>
              <w:spacing w:before="0" w:beforeAutospacing="off" w:after="160" w:afterAutospacing="off" w:line="276" w:lineRule="auto"/>
              <w:jc w:val="center"/>
              <w:rPr>
                <w:rFonts w:ascii="Aptos" w:hAnsi="Aptos" w:eastAsia="Aptos" w:cs="Aptos"/>
                <w:b w:val="1"/>
                <w:bCs w:val="1"/>
                <w:i w:val="0"/>
                <w:iCs w:val="0"/>
                <w:strike w:val="0"/>
                <w:dstrike w:val="0"/>
                <w:color w:val="FFFFFF" w:themeColor="background1" w:themeTint="FF" w:themeShade="FF"/>
                <w:sz w:val="24"/>
                <w:szCs w:val="24"/>
                <w:u w:val="none"/>
              </w:rPr>
            </w:pPr>
            <w:r w:rsidRPr="010FBCF5" w:rsidR="2A1848FE">
              <w:rPr>
                <w:rFonts w:ascii="Aptos" w:hAnsi="Aptos" w:eastAsia="Aptos" w:cs="Aptos"/>
                <w:b w:val="1"/>
                <w:bCs w:val="1"/>
                <w:i w:val="0"/>
                <w:iCs w:val="0"/>
                <w:strike w:val="0"/>
                <w:dstrike w:val="0"/>
                <w:color w:val="FFFFFF" w:themeColor="background1" w:themeTint="FF" w:themeShade="FF"/>
                <w:sz w:val="24"/>
                <w:szCs w:val="24"/>
                <w:u w:val="none"/>
              </w:rPr>
              <w:t>People with Behavioral Health Conditions</w:t>
            </w:r>
          </w:p>
        </w:tc>
        <w:tc>
          <w:tcPr>
            <w:tcW w:w="1740"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145778F0" w14:textId="2E5C50C9">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Depression Screening and Follow-Up for Adolescents and Adults</w:t>
            </w:r>
          </w:p>
        </w:tc>
        <w:tc>
          <w:tcPr>
            <w:tcW w:w="406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75810CEB" w14:textId="18656068">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Complete a depression screening annually for persons 12 years of age and older (a specific screening questionnaire is not endorsed). Although USPSTF does not specify frequency, the group endorsed the recommendation to screen annually.  </w:t>
            </w:r>
          </w:p>
        </w:tc>
        <w:tc>
          <w:tcPr>
            <w:tcW w:w="220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BD2D8"/>
            <w:tcMar>
              <w:top w:w="26" w:type="dxa"/>
              <w:left w:w="26" w:type="dxa"/>
              <w:bottom w:w="26" w:type="dxa"/>
              <w:right w:w="26" w:type="dxa"/>
            </w:tcMar>
            <w:vAlign w:val="center"/>
          </w:tcPr>
          <w:p w:rsidR="010FBCF5" w:rsidP="010FBCF5" w:rsidRDefault="010FBCF5" w14:paraId="324BC423" w14:textId="2BF4F6F3">
            <w:pPr>
              <w:pStyle w:val="Normal"/>
              <w:suppressLineNumbers w:val="0"/>
              <w:bidi w:val="0"/>
              <w:spacing w:before="0" w:beforeAutospacing="off" w:after="160" w:afterAutospacing="off" w:line="276" w:lineRule="auto"/>
              <w:ind w:left="0" w:right="0"/>
              <w:jc w:val="left"/>
              <w:rPr>
                <w:rFonts w:ascii="Aptos" w:hAnsi="Aptos" w:eastAsia="Aptos" w:cs="Aptos"/>
                <w:color w:val="0563C1"/>
                <w:sz w:val="24"/>
                <w:szCs w:val="24"/>
                <w:u w:val="single"/>
                <w:lang w:eastAsia="en-US" w:bidi="ar-SA"/>
              </w:rPr>
            </w:pPr>
            <w:hyperlink r:id="Rbc4d2fdc33d24af0">
              <w:r w:rsidRPr="010FBCF5" w:rsidR="010FBCF5">
                <w:rPr>
                  <w:rFonts w:ascii="Aptos" w:hAnsi="Aptos" w:eastAsia="Aptos" w:cs="Aptos"/>
                  <w:color w:val="0563C1"/>
                  <w:sz w:val="24"/>
                  <w:szCs w:val="24"/>
                  <w:u w:val="single"/>
                  <w:lang w:eastAsia="en-US" w:bidi="ar-SA"/>
                </w:rPr>
                <w:t>United States Preventive Services Task Force (USPSTF)(2016)</w:t>
              </w:r>
            </w:hyperlink>
          </w:p>
        </w:tc>
      </w:tr>
      <w:tr w:rsidR="010FBCF5" w:rsidTr="010FBCF5" w14:paraId="03ABDB33">
        <w:trPr>
          <w:trHeight w:val="300"/>
        </w:trPr>
        <w:tc>
          <w:tcPr>
            <w:tcW w:w="1455" w:type="dxa"/>
            <w:vMerge/>
            <w:tcBorders>
              <w:top w:val="single" w:color="FFFFFF" w:themeColor="background1" w:sz="0"/>
              <w:left w:val="single" w:color="FFFFFF" w:themeColor="background1" w:sz="0"/>
              <w:bottom w:val="single" w:color="FFFFFF" w:themeColor="background1" w:sz="0"/>
              <w:right w:val="single" w:color="FFFFFF" w:themeColor="background1" w:sz="0"/>
            </w:tcBorders>
            <w:tcMar/>
            <w:vAlign w:val="center"/>
          </w:tcPr>
          <w:p w14:paraId="22F5D7BA"/>
        </w:tc>
        <w:tc>
          <w:tcPr>
            <w:tcW w:w="174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4E3FE809" w14:textId="77DD7FFA">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Depression Remission or Response for Adolescents and Adults</w:t>
            </w:r>
          </w:p>
        </w:tc>
        <w:tc>
          <w:tcPr>
            <w:tcW w:w="406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1EB3CAD2" w14:textId="33C1050D">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Measurement-Based Care    </w:t>
            </w:r>
          </w:p>
          <w:p w:rsidR="010FBCF5" w:rsidP="010FBCF5" w:rsidRDefault="010FBCF5" w14:paraId="09B58391" w14:textId="692817FF">
            <w:pPr>
              <w:pStyle w:val="ListParagraph"/>
              <w:numPr>
                <w:ilvl w:val="0"/>
                <w:numId w:val="29"/>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In adults with Major Depressive Disorder (MDD), use the Patient Health Questionnaire-9 (PHQ-9) or other validated tool to quantitatively measure depression severity in </w:t>
            </w:r>
            <w:r w:rsidRPr="010FBCF5" w:rsidR="010FBCF5">
              <w:rPr>
                <w:rFonts w:ascii="Aptos" w:hAnsi="Aptos" w:eastAsia="Aptos" w:cs="Aptos"/>
                <w:b w:val="0"/>
                <w:bCs w:val="0"/>
                <w:i w:val="0"/>
                <w:iCs w:val="0"/>
                <w:strike w:val="0"/>
                <w:dstrike w:val="0"/>
                <w:color w:val="000000" w:themeColor="text1" w:themeTint="FF" w:themeShade="FF"/>
                <w:sz w:val="24"/>
                <w:szCs w:val="24"/>
                <w:u w:val="none"/>
              </w:rPr>
              <w:t>initial</w:t>
            </w: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 treatment planning. </w:t>
            </w:r>
          </w:p>
          <w:p w:rsidR="010FBCF5" w:rsidP="010FBCF5" w:rsidRDefault="010FBCF5" w14:paraId="12352D19" w14:textId="740B8184">
            <w:pPr>
              <w:pStyle w:val="ListParagraph"/>
              <w:numPr>
                <w:ilvl w:val="0"/>
                <w:numId w:val="29"/>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In adults with MDD, use the PHQ-9 to </w:t>
            </w:r>
            <w:r w:rsidRPr="010FBCF5" w:rsidR="010FBCF5">
              <w:rPr>
                <w:rFonts w:ascii="Aptos" w:hAnsi="Aptos" w:eastAsia="Aptos" w:cs="Aptos"/>
                <w:b w:val="0"/>
                <w:bCs w:val="0"/>
                <w:i w:val="0"/>
                <w:iCs w:val="0"/>
                <w:strike w:val="0"/>
                <w:dstrike w:val="0"/>
                <w:color w:val="000000" w:themeColor="text1" w:themeTint="FF" w:themeShade="FF"/>
                <w:sz w:val="24"/>
                <w:szCs w:val="24"/>
                <w:u w:val="none"/>
              </w:rPr>
              <w:t>monitor</w:t>
            </w: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 treatment response at four to six weeks, after each change in treatment, and until full remission (i.e., sustained PHQ-9 at zero to four weeks for a minimum of two months) is achieved.    </w:t>
            </w:r>
          </w:p>
          <w:p w:rsidR="010FBCF5" w:rsidP="010FBCF5" w:rsidRDefault="010FBCF5" w14:paraId="524B9BAA" w14:textId="79613126">
            <w:pPr>
              <w:pStyle w:val="ListParagraph"/>
              <w:numPr>
                <w:ilvl w:val="0"/>
                <w:numId w:val="29"/>
              </w:numPr>
              <w:tabs>
                <w:tab w:val="left" w:leader="none" w:pos="720"/>
              </w:tabs>
              <w:spacing w:before="0" w:beforeAutospacing="off" w:after="160" w:afterAutospacing="off" w:line="276" w:lineRule="auto"/>
              <w:ind w:right="0"/>
              <w:jc w:val="left"/>
              <w:rPr>
                <w:rFonts w:ascii="Aptos" w:hAnsi="Aptos" w:eastAsia="Aptos" w:cs="Aptos"/>
                <w:b w:val="0"/>
                <w:bCs w:val="0"/>
                <w:i w:val="0"/>
                <w:iCs w:val="0"/>
                <w:strike w:val="0"/>
                <w:dstrike w:val="0"/>
                <w:color w:val="000000" w:themeColor="text1" w:themeTint="FF" w:themeShade="FF"/>
                <w:sz w:val="22"/>
                <w:szCs w:val="22"/>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At a minimum, assessments should include a measure of symptoms, as well as adherence to treatment, emergence of adverse effects, and </w:t>
            </w:r>
            <w:r w:rsidRPr="010FBCF5" w:rsidR="010FBCF5">
              <w:rPr>
                <w:rFonts w:ascii="Aptos" w:hAnsi="Aptos" w:eastAsia="Aptos" w:cs="Aptos"/>
                <w:b w:val="0"/>
                <w:bCs w:val="0"/>
                <w:i w:val="0"/>
                <w:iCs w:val="0"/>
                <w:strike w:val="0"/>
                <w:dstrike w:val="0"/>
                <w:color w:val="000000" w:themeColor="text1" w:themeTint="FF" w:themeShade="FF"/>
                <w:sz w:val="24"/>
                <w:szCs w:val="24"/>
                <w:u w:val="none"/>
              </w:rPr>
              <w:t>the therapeutic</w:t>
            </w:r>
            <w:r w:rsidRPr="010FBCF5" w:rsidR="010FBCF5">
              <w:rPr>
                <w:rFonts w:ascii="Aptos" w:hAnsi="Aptos" w:eastAsia="Aptos" w:cs="Aptos"/>
                <w:b w:val="0"/>
                <w:bCs w:val="0"/>
                <w:i w:val="0"/>
                <w:iCs w:val="0"/>
                <w:strike w:val="0"/>
                <w:dstrike w:val="0"/>
                <w:color w:val="000000" w:themeColor="text1" w:themeTint="FF" w:themeShade="FF"/>
                <w:sz w:val="24"/>
                <w:szCs w:val="24"/>
                <w:u w:val="none"/>
              </w:rPr>
              <w:t xml:space="preserve"> alliance.   </w:t>
            </w:r>
          </w:p>
        </w:tc>
        <w:tc>
          <w:tcPr>
            <w:tcW w:w="220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7EAEC"/>
            <w:tcMar>
              <w:top w:w="26" w:type="dxa"/>
              <w:left w:w="26" w:type="dxa"/>
              <w:bottom w:w="26" w:type="dxa"/>
              <w:right w:w="26" w:type="dxa"/>
            </w:tcMar>
            <w:vAlign w:val="center"/>
          </w:tcPr>
          <w:p w:rsidR="010FBCF5" w:rsidP="010FBCF5" w:rsidRDefault="010FBCF5" w14:paraId="0B533B03" w14:textId="0F9D847A">
            <w:pPr>
              <w:spacing w:before="0" w:beforeAutospacing="off" w:after="160" w:afterAutospacing="off" w:line="276" w:lineRule="auto"/>
              <w:jc w:val="left"/>
              <w:rPr>
                <w:rFonts w:ascii="Aptos" w:hAnsi="Aptos" w:eastAsia="Aptos" w:cs="Aptos"/>
                <w:b w:val="0"/>
                <w:bCs w:val="0"/>
                <w:i w:val="0"/>
                <w:iCs w:val="0"/>
                <w:strike w:val="0"/>
                <w:dstrike w:val="0"/>
                <w:color w:val="000000" w:themeColor="text1" w:themeTint="FF" w:themeShade="FF"/>
                <w:sz w:val="24"/>
                <w:szCs w:val="24"/>
                <w:u w:val="none"/>
              </w:rPr>
            </w:pPr>
            <w:r w:rsidRPr="010FBCF5" w:rsidR="010FBCF5">
              <w:rPr>
                <w:rFonts w:ascii="Aptos" w:hAnsi="Aptos" w:eastAsia="Aptos" w:cs="Aptos"/>
                <w:b w:val="0"/>
                <w:bCs w:val="0"/>
                <w:i w:val="0"/>
                <w:iCs w:val="0"/>
                <w:strike w:val="0"/>
                <w:dstrike w:val="0"/>
                <w:color w:val="000000" w:themeColor="text1" w:themeTint="FF" w:themeShade="FF"/>
                <w:sz w:val="24"/>
                <w:szCs w:val="24"/>
                <w:u w:val="none"/>
              </w:rPr>
              <w:t>Kaiser Permanente National Guideline Program (September 2023)</w:t>
            </w:r>
          </w:p>
        </w:tc>
      </w:tr>
    </w:tbl>
    <w:p w:rsidR="010FBCF5" w:rsidP="010FBCF5" w:rsidRDefault="010FBCF5" w14:paraId="44ED32C1" w14:textId="37088F24">
      <w:pPr>
        <w:spacing w:before="240" w:after="240"/>
        <w:rPr>
          <w:rFonts w:ascii="Aptos" w:hAnsi="Aptos" w:eastAsia="Aptos" w:cs="Aptos"/>
          <w:noProof w:val="0"/>
          <w:sz w:val="24"/>
          <w:szCs w:val="24"/>
          <w:lang w:val="en-US"/>
        </w:rPr>
      </w:pPr>
    </w:p>
    <w:p w:rsidR="010FBCF5" w:rsidP="010FBCF5" w:rsidRDefault="010FBCF5" w14:paraId="4028F29E" w14:textId="2579F3BC">
      <w:pPr>
        <w:spacing w:before="240" w:after="240"/>
        <w:rPr>
          <w:rFonts w:ascii="Aptos" w:hAnsi="Aptos" w:eastAsia="Aptos" w:cs="Aptos"/>
          <w:noProof w:val="0"/>
          <w:sz w:val="24"/>
          <w:szCs w:val="24"/>
          <w:lang w:val="en-US"/>
        </w:rPr>
      </w:pPr>
    </w:p>
    <w:sectPr w:rsidR="00566BA1">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0AB3" w:rsidRDefault="00B00AB3" w14:paraId="65CDD79E" w14:textId="77777777">
      <w:pPr>
        <w:spacing w:after="0" w:line="240" w:lineRule="auto"/>
      </w:pPr>
      <w:r>
        <w:separator/>
      </w:r>
    </w:p>
  </w:endnote>
  <w:endnote w:type="continuationSeparator" w:id="0">
    <w:p w:rsidR="00B00AB3" w:rsidRDefault="00B00AB3" w14:paraId="33DA63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BA1" w:rsidRDefault="00AA1998" w14:paraId="00000049"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566BA1" w:rsidRDefault="00566BA1" w14:paraId="0000004A"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BA1" w:rsidRDefault="00AA1998" w14:paraId="0000004B" w14:textId="06B94DF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701EE">
      <w:rPr>
        <w:noProof/>
        <w:color w:val="000000"/>
      </w:rPr>
      <w:t>2</w:t>
    </w:r>
    <w:r>
      <w:rPr>
        <w:color w:val="000000"/>
      </w:rPr>
      <w:fldChar w:fldCharType="end"/>
    </w:r>
  </w:p>
  <w:p w:rsidR="00566BA1" w:rsidRDefault="00566BA1" w14:paraId="0000004C" w14:textId="77777777">
    <w:pPr>
      <w:pBdr>
        <w:top w:val="nil"/>
        <w:left w:val="nil"/>
        <w:bottom w:val="nil"/>
        <w:right w:val="nil"/>
        <w:between w:val="nil"/>
      </w:pBdr>
      <w:tabs>
        <w:tab w:val="center" w:pos="4680"/>
        <w:tab w:val="right" w:pos="9360"/>
      </w:tabs>
      <w:spacing w:after="0" w:line="240" w:lineRule="auto"/>
      <w:ind w:right="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BA1" w:rsidRDefault="00AA1998" w14:paraId="0000004D" w14:textId="260AAF4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701EE">
      <w:rPr>
        <w:noProof/>
        <w:color w:val="000000"/>
      </w:rPr>
      <w:t>1</w:t>
    </w:r>
    <w:r>
      <w:rPr>
        <w:color w:val="000000"/>
      </w:rPr>
      <w:fldChar w:fldCharType="end"/>
    </w:r>
  </w:p>
  <w:p w:rsidR="00566BA1" w:rsidRDefault="00566BA1" w14:paraId="0000004E" w14:textId="77777777">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0AB3" w:rsidRDefault="00B00AB3" w14:paraId="24E66704" w14:textId="77777777">
      <w:pPr>
        <w:spacing w:after="0" w:line="240" w:lineRule="auto"/>
      </w:pPr>
      <w:r>
        <w:separator/>
      </w:r>
    </w:p>
  </w:footnote>
  <w:footnote w:type="continuationSeparator" w:id="0">
    <w:p w:rsidR="00B00AB3" w:rsidRDefault="00B00AB3" w14:paraId="59CDD7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BA1" w:rsidRDefault="00AA1998" w14:paraId="00000042" w14:textId="77777777">
    <w:pPr>
      <w:pBdr>
        <w:top w:val="nil"/>
        <w:left w:val="nil"/>
        <w:bottom w:val="nil"/>
        <w:right w:val="nil"/>
        <w:between w:val="nil"/>
      </w:pBdr>
      <w:tabs>
        <w:tab w:val="center" w:pos="4680"/>
        <w:tab w:val="right" w:pos="9360"/>
      </w:tabs>
      <w:spacing w:after="0" w:line="240" w:lineRule="auto"/>
      <w:rPr>
        <w:rFonts w:ascii="Aptos" w:hAnsi="Aptos" w:eastAsia="Aptos" w:cs="Aptos"/>
        <w:color w:val="000000"/>
      </w:rPr>
    </w:pPr>
    <w:r>
      <w:rPr>
        <w:rFonts w:ascii="Aptos" w:hAnsi="Aptos" w:eastAsia="Aptos" w:cs="Aptos"/>
        <w:color w:val="000000"/>
      </w:rPr>
      <w:t>Equity and Practice Transformation (EPT) Payment Program</w:t>
    </w:r>
  </w:p>
  <w:p w:rsidR="00566BA1" w:rsidRDefault="00AA1998" w14:paraId="00000043" w14:textId="1F7AE5F2">
    <w:pPr>
      <w:pBdr>
        <w:top w:val="nil"/>
        <w:left w:val="nil"/>
        <w:bottom w:val="nil"/>
        <w:right w:val="nil"/>
        <w:between w:val="nil"/>
      </w:pBdr>
      <w:tabs>
        <w:tab w:val="center" w:pos="4680"/>
        <w:tab w:val="right" w:pos="9360"/>
      </w:tabs>
      <w:spacing w:after="0" w:line="240" w:lineRule="auto"/>
      <w:rPr>
        <w:color w:val="000000"/>
      </w:rPr>
    </w:pPr>
    <w:r>
      <w:rPr>
        <w:color w:val="000000"/>
      </w:rPr>
      <w:t>November 202</w:t>
    </w:r>
    <w:r w:rsidR="00DD414A">
      <w:rPr>
        <w:color w:val="000000"/>
      </w:rPr>
      <w:t>5</w:t>
    </w:r>
    <w:r>
      <w:rPr>
        <w:color w:val="000000"/>
      </w:rPr>
      <w:t xml:space="preserve"> Submission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566BA1" w:rsidRDefault="00AA1998" w14:paraId="00000044" w14:textId="77777777">
    <w:pPr>
      <w:pBdr>
        <w:top w:val="nil"/>
        <w:left w:val="nil"/>
        <w:bottom w:val="nil"/>
        <w:right w:val="nil"/>
        <w:between w:val="nil"/>
      </w:pBdr>
      <w:tabs>
        <w:tab w:val="center" w:pos="4680"/>
        <w:tab w:val="right" w:pos="9360"/>
      </w:tabs>
      <w:spacing w:after="0" w:line="240" w:lineRule="auto"/>
      <w:rPr>
        <w:rFonts w:ascii="Aptos" w:hAnsi="Aptos" w:eastAsia="Aptos" w:cs="Aptos"/>
        <w:color w:val="000000"/>
      </w:rPr>
    </w:pPr>
    <w:r>
      <w:rPr>
        <w:noProof/>
      </w:rPr>
      <w:drawing>
        <wp:anchor distT="0" distB="0" distL="114300" distR="114300" simplePos="0" relativeHeight="251658240" behindDoc="0" locked="0" layoutInCell="1" hidden="0" allowOverlap="1" wp14:anchorId="013EE112" wp14:editId="644D19DF">
          <wp:simplePos x="0" y="0"/>
          <wp:positionH relativeFrom="column">
            <wp:posOffset>-309879</wp:posOffset>
          </wp:positionH>
          <wp:positionV relativeFrom="paragraph">
            <wp:posOffset>-97276</wp:posOffset>
          </wp:positionV>
          <wp:extent cx="1477645" cy="784860"/>
          <wp:effectExtent l="0" t="0" r="0" b="0"/>
          <wp:wrapSquare wrapText="bothSides" distT="0" distB="0" distL="114300" distR="114300"/>
          <wp:docPr id="1614129929" name="image1.png" descr="A logo with text overla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overlay&#10;&#10;Description automatically generated"/>
                  <pic:cNvPicPr preferRelativeResize="0"/>
                </pic:nvPicPr>
                <pic:blipFill>
                  <a:blip r:embed="rId1"/>
                  <a:srcRect/>
                  <a:stretch>
                    <a:fillRect/>
                  </a:stretch>
                </pic:blipFill>
                <pic:spPr>
                  <a:xfrm>
                    <a:off x="0" y="0"/>
                    <a:ext cx="1477645" cy="784860"/>
                  </a:xfrm>
                  <a:prstGeom prst="rect">
                    <a:avLst/>
                  </a:prstGeom>
                  <a:ln/>
                </pic:spPr>
              </pic:pic>
            </a:graphicData>
          </a:graphic>
        </wp:anchor>
      </w:drawing>
    </w:r>
  </w:p>
  <w:p w:rsidR="00566BA1" w:rsidRDefault="26EE40BD" w14:paraId="00000045" w14:textId="77777777">
    <w:pPr>
      <w:pBdr>
        <w:top w:val="nil"/>
        <w:left w:val="nil"/>
        <w:bottom w:val="nil"/>
        <w:right w:val="nil"/>
        <w:between w:val="nil"/>
      </w:pBdr>
      <w:tabs>
        <w:tab w:val="center" w:pos="4680"/>
        <w:tab w:val="right" w:pos="9360"/>
      </w:tabs>
      <w:spacing w:after="0" w:line="240" w:lineRule="auto"/>
      <w:rPr>
        <w:rFonts w:ascii="Aptos" w:hAnsi="Aptos" w:eastAsia="Aptos" w:cs="Aptos"/>
        <w:color w:val="000000"/>
      </w:rPr>
    </w:pPr>
    <w:r w:rsidRPr="26EE40BD">
      <w:rPr>
        <w:rFonts w:ascii="Aptos" w:hAnsi="Aptos" w:eastAsia="Aptos" w:cs="Aptos"/>
        <w:color w:val="000000" w:themeColor="text1"/>
      </w:rPr>
      <w:t>Equity and Practice Transformation (EPT) Payment Program</w:t>
    </w:r>
  </w:p>
  <w:p w:rsidR="26EE40BD" w:rsidP="26EE40BD" w:rsidRDefault="26EE40BD" w14:paraId="0A0390D5" w14:textId="098A9F6A">
    <w:pPr>
      <w:pBdr>
        <w:top w:val="nil"/>
        <w:left w:val="nil"/>
        <w:bottom w:val="nil"/>
        <w:right w:val="nil"/>
        <w:between w:val="nil"/>
      </w:pBdr>
      <w:tabs>
        <w:tab w:val="center" w:pos="4680"/>
        <w:tab w:val="right" w:pos="9360"/>
      </w:tabs>
      <w:spacing w:after="0" w:line="240" w:lineRule="auto"/>
    </w:pPr>
    <w:r w:rsidRPr="26EE40BD">
      <w:rPr>
        <w:color w:val="000000" w:themeColor="text1"/>
      </w:rPr>
      <w:t>Adopt Clinical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8">
    <w:nsid w:val="65363ae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7">
    <w:nsid w:val="7173a2b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6">
    <w:nsid w:val="47d3d07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5">
    <w:nsid w:val="7c7e3d0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14380ca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3">
    <w:nsid w:val="6677eed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2">
    <w:nsid w:val="5e6edbc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1">
    <w:nsid w:val="332d535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10A1548"/>
    <w:multiLevelType w:val="hybridMultilevel"/>
    <w:tmpl w:val="C4E2969E"/>
    <w:lvl w:ilvl="0" w:tplc="C15C7416">
      <w:start w:val="1"/>
      <w:numFmt w:val="bullet"/>
      <w:lvlText w:val=""/>
      <w:lvlJc w:val="left"/>
      <w:pPr>
        <w:ind w:left="720" w:hanging="360"/>
      </w:pPr>
      <w:rPr>
        <w:rFonts w:hint="default" w:ascii="Symbol" w:hAnsi="Symbol"/>
      </w:rPr>
    </w:lvl>
    <w:lvl w:ilvl="1" w:tplc="E3E2FF98">
      <w:start w:val="1"/>
      <w:numFmt w:val="bullet"/>
      <w:lvlText w:val="o"/>
      <w:lvlJc w:val="left"/>
      <w:pPr>
        <w:ind w:left="1440" w:hanging="360"/>
      </w:pPr>
      <w:rPr>
        <w:rFonts w:hint="default" w:ascii="Courier New" w:hAnsi="Courier New"/>
      </w:rPr>
    </w:lvl>
    <w:lvl w:ilvl="2" w:tplc="37A62AC6">
      <w:start w:val="1"/>
      <w:numFmt w:val="bullet"/>
      <w:lvlText w:val=""/>
      <w:lvlJc w:val="left"/>
      <w:pPr>
        <w:ind w:left="2160" w:hanging="360"/>
      </w:pPr>
      <w:rPr>
        <w:rFonts w:hint="default" w:ascii="Wingdings" w:hAnsi="Wingdings"/>
      </w:rPr>
    </w:lvl>
    <w:lvl w:ilvl="3" w:tplc="71C28058">
      <w:start w:val="1"/>
      <w:numFmt w:val="bullet"/>
      <w:lvlText w:val=""/>
      <w:lvlJc w:val="left"/>
      <w:pPr>
        <w:ind w:left="2880" w:hanging="360"/>
      </w:pPr>
      <w:rPr>
        <w:rFonts w:hint="default" w:ascii="Symbol" w:hAnsi="Symbol"/>
      </w:rPr>
    </w:lvl>
    <w:lvl w:ilvl="4" w:tplc="4D82F240">
      <w:start w:val="1"/>
      <w:numFmt w:val="bullet"/>
      <w:lvlText w:val="o"/>
      <w:lvlJc w:val="left"/>
      <w:pPr>
        <w:ind w:left="3600" w:hanging="360"/>
      </w:pPr>
      <w:rPr>
        <w:rFonts w:hint="default" w:ascii="Courier New" w:hAnsi="Courier New"/>
      </w:rPr>
    </w:lvl>
    <w:lvl w:ilvl="5" w:tplc="12CA2F24">
      <w:start w:val="1"/>
      <w:numFmt w:val="bullet"/>
      <w:lvlText w:val=""/>
      <w:lvlJc w:val="left"/>
      <w:pPr>
        <w:ind w:left="4320" w:hanging="360"/>
      </w:pPr>
      <w:rPr>
        <w:rFonts w:hint="default" w:ascii="Wingdings" w:hAnsi="Wingdings"/>
      </w:rPr>
    </w:lvl>
    <w:lvl w:ilvl="6" w:tplc="E7D45DB6">
      <w:start w:val="1"/>
      <w:numFmt w:val="bullet"/>
      <w:lvlText w:val=""/>
      <w:lvlJc w:val="left"/>
      <w:pPr>
        <w:ind w:left="5040" w:hanging="360"/>
      </w:pPr>
      <w:rPr>
        <w:rFonts w:hint="default" w:ascii="Symbol" w:hAnsi="Symbol"/>
      </w:rPr>
    </w:lvl>
    <w:lvl w:ilvl="7" w:tplc="793C6E74">
      <w:start w:val="1"/>
      <w:numFmt w:val="bullet"/>
      <w:lvlText w:val="o"/>
      <w:lvlJc w:val="left"/>
      <w:pPr>
        <w:ind w:left="5760" w:hanging="360"/>
      </w:pPr>
      <w:rPr>
        <w:rFonts w:hint="default" w:ascii="Courier New" w:hAnsi="Courier New"/>
      </w:rPr>
    </w:lvl>
    <w:lvl w:ilvl="8" w:tplc="D114A4A0">
      <w:start w:val="1"/>
      <w:numFmt w:val="bullet"/>
      <w:lvlText w:val=""/>
      <w:lvlJc w:val="left"/>
      <w:pPr>
        <w:ind w:left="6480" w:hanging="360"/>
      </w:pPr>
      <w:rPr>
        <w:rFonts w:hint="default" w:ascii="Wingdings" w:hAnsi="Wingdings"/>
      </w:rPr>
    </w:lvl>
  </w:abstractNum>
  <w:abstractNum w:abstractNumId="1" w15:restartNumberingAfterBreak="0">
    <w:nsid w:val="184D68A8"/>
    <w:multiLevelType w:val="hybridMultilevel"/>
    <w:tmpl w:val="ECEC99CE"/>
    <w:lvl w:ilvl="0" w:tplc="F54E5636">
      <w:start w:val="1"/>
      <w:numFmt w:val="bullet"/>
      <w:lvlText w:val=""/>
      <w:lvlJc w:val="left"/>
      <w:pPr>
        <w:ind w:left="720" w:hanging="360"/>
      </w:pPr>
      <w:rPr>
        <w:rFonts w:hint="default" w:ascii="Symbol" w:hAnsi="Symbol"/>
      </w:rPr>
    </w:lvl>
    <w:lvl w:ilvl="1" w:tplc="E752BAA4">
      <w:start w:val="1"/>
      <w:numFmt w:val="bullet"/>
      <w:lvlText w:val="o"/>
      <w:lvlJc w:val="left"/>
      <w:pPr>
        <w:ind w:left="1440" w:hanging="360"/>
      </w:pPr>
      <w:rPr>
        <w:rFonts w:hint="default" w:ascii="Courier New" w:hAnsi="Courier New"/>
      </w:rPr>
    </w:lvl>
    <w:lvl w:ilvl="2" w:tplc="AA365D48">
      <w:start w:val="1"/>
      <w:numFmt w:val="bullet"/>
      <w:lvlText w:val=""/>
      <w:lvlJc w:val="left"/>
      <w:pPr>
        <w:ind w:left="2160" w:hanging="360"/>
      </w:pPr>
      <w:rPr>
        <w:rFonts w:hint="default" w:ascii="Wingdings" w:hAnsi="Wingdings"/>
      </w:rPr>
    </w:lvl>
    <w:lvl w:ilvl="3" w:tplc="E8F215E8">
      <w:start w:val="1"/>
      <w:numFmt w:val="bullet"/>
      <w:lvlText w:val=""/>
      <w:lvlJc w:val="left"/>
      <w:pPr>
        <w:ind w:left="2880" w:hanging="360"/>
      </w:pPr>
      <w:rPr>
        <w:rFonts w:hint="default" w:ascii="Symbol" w:hAnsi="Symbol"/>
      </w:rPr>
    </w:lvl>
    <w:lvl w:ilvl="4" w:tplc="A22E5C2A">
      <w:start w:val="1"/>
      <w:numFmt w:val="bullet"/>
      <w:lvlText w:val="o"/>
      <w:lvlJc w:val="left"/>
      <w:pPr>
        <w:ind w:left="3600" w:hanging="360"/>
      </w:pPr>
      <w:rPr>
        <w:rFonts w:hint="default" w:ascii="Courier New" w:hAnsi="Courier New"/>
      </w:rPr>
    </w:lvl>
    <w:lvl w:ilvl="5" w:tplc="0DBC2094">
      <w:start w:val="1"/>
      <w:numFmt w:val="bullet"/>
      <w:lvlText w:val=""/>
      <w:lvlJc w:val="left"/>
      <w:pPr>
        <w:ind w:left="4320" w:hanging="360"/>
      </w:pPr>
      <w:rPr>
        <w:rFonts w:hint="default" w:ascii="Wingdings" w:hAnsi="Wingdings"/>
      </w:rPr>
    </w:lvl>
    <w:lvl w:ilvl="6" w:tplc="280E045E">
      <w:start w:val="1"/>
      <w:numFmt w:val="bullet"/>
      <w:lvlText w:val=""/>
      <w:lvlJc w:val="left"/>
      <w:pPr>
        <w:ind w:left="5040" w:hanging="360"/>
      </w:pPr>
      <w:rPr>
        <w:rFonts w:hint="default" w:ascii="Symbol" w:hAnsi="Symbol"/>
      </w:rPr>
    </w:lvl>
    <w:lvl w:ilvl="7" w:tplc="C3063F92">
      <w:start w:val="1"/>
      <w:numFmt w:val="bullet"/>
      <w:lvlText w:val="o"/>
      <w:lvlJc w:val="left"/>
      <w:pPr>
        <w:ind w:left="5760" w:hanging="360"/>
      </w:pPr>
      <w:rPr>
        <w:rFonts w:hint="default" w:ascii="Courier New" w:hAnsi="Courier New"/>
      </w:rPr>
    </w:lvl>
    <w:lvl w:ilvl="8" w:tplc="53C40682">
      <w:start w:val="1"/>
      <w:numFmt w:val="bullet"/>
      <w:lvlText w:val=""/>
      <w:lvlJc w:val="left"/>
      <w:pPr>
        <w:ind w:left="6480" w:hanging="360"/>
      </w:pPr>
      <w:rPr>
        <w:rFonts w:hint="default" w:ascii="Wingdings" w:hAnsi="Wingdings"/>
      </w:rPr>
    </w:lvl>
  </w:abstractNum>
  <w:abstractNum w:abstractNumId="2" w15:restartNumberingAfterBreak="0">
    <w:nsid w:val="18B17F41"/>
    <w:multiLevelType w:val="hybridMultilevel"/>
    <w:tmpl w:val="B9220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EB2BC1"/>
    <w:multiLevelType w:val="hybridMultilevel"/>
    <w:tmpl w:val="191A3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9C377C"/>
    <w:multiLevelType w:val="hybridMultilevel"/>
    <w:tmpl w:val="A49C7C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5896DBF"/>
    <w:multiLevelType w:val="hybridMultilevel"/>
    <w:tmpl w:val="137259BE"/>
    <w:lvl w:ilvl="0" w:tplc="46964C80">
      <w:start w:val="1"/>
      <w:numFmt w:val="bullet"/>
      <w:lvlText w:val=""/>
      <w:lvlJc w:val="left"/>
      <w:pPr>
        <w:ind w:left="720" w:hanging="360"/>
      </w:pPr>
      <w:rPr>
        <w:rFonts w:hint="default" w:ascii="Symbol" w:hAnsi="Symbol"/>
      </w:rPr>
    </w:lvl>
    <w:lvl w:ilvl="1" w:tplc="2B12DF96">
      <w:start w:val="1"/>
      <w:numFmt w:val="bullet"/>
      <w:lvlText w:val="o"/>
      <w:lvlJc w:val="left"/>
      <w:pPr>
        <w:ind w:left="1440" w:hanging="360"/>
      </w:pPr>
      <w:rPr>
        <w:rFonts w:hint="default" w:ascii="Courier New" w:hAnsi="Courier New"/>
      </w:rPr>
    </w:lvl>
    <w:lvl w:ilvl="2" w:tplc="21CA8EE4">
      <w:start w:val="1"/>
      <w:numFmt w:val="bullet"/>
      <w:lvlText w:val=""/>
      <w:lvlJc w:val="left"/>
      <w:pPr>
        <w:ind w:left="2160" w:hanging="360"/>
      </w:pPr>
      <w:rPr>
        <w:rFonts w:hint="default" w:ascii="Wingdings" w:hAnsi="Wingdings"/>
      </w:rPr>
    </w:lvl>
    <w:lvl w:ilvl="3" w:tplc="6A8C1B18">
      <w:start w:val="1"/>
      <w:numFmt w:val="bullet"/>
      <w:lvlText w:val=""/>
      <w:lvlJc w:val="left"/>
      <w:pPr>
        <w:ind w:left="2880" w:hanging="360"/>
      </w:pPr>
      <w:rPr>
        <w:rFonts w:hint="default" w:ascii="Symbol" w:hAnsi="Symbol"/>
      </w:rPr>
    </w:lvl>
    <w:lvl w:ilvl="4" w:tplc="BBC888F2">
      <w:start w:val="1"/>
      <w:numFmt w:val="bullet"/>
      <w:lvlText w:val="o"/>
      <w:lvlJc w:val="left"/>
      <w:pPr>
        <w:ind w:left="3600" w:hanging="360"/>
      </w:pPr>
      <w:rPr>
        <w:rFonts w:hint="default" w:ascii="Courier New" w:hAnsi="Courier New"/>
      </w:rPr>
    </w:lvl>
    <w:lvl w:ilvl="5" w:tplc="25E05982">
      <w:start w:val="1"/>
      <w:numFmt w:val="bullet"/>
      <w:lvlText w:val=""/>
      <w:lvlJc w:val="left"/>
      <w:pPr>
        <w:ind w:left="4320" w:hanging="360"/>
      </w:pPr>
      <w:rPr>
        <w:rFonts w:hint="default" w:ascii="Wingdings" w:hAnsi="Wingdings"/>
      </w:rPr>
    </w:lvl>
    <w:lvl w:ilvl="6" w:tplc="2CA411D6">
      <w:start w:val="1"/>
      <w:numFmt w:val="bullet"/>
      <w:lvlText w:val=""/>
      <w:lvlJc w:val="left"/>
      <w:pPr>
        <w:ind w:left="5040" w:hanging="360"/>
      </w:pPr>
      <w:rPr>
        <w:rFonts w:hint="default" w:ascii="Symbol" w:hAnsi="Symbol"/>
      </w:rPr>
    </w:lvl>
    <w:lvl w:ilvl="7" w:tplc="C1102400">
      <w:start w:val="1"/>
      <w:numFmt w:val="bullet"/>
      <w:lvlText w:val="o"/>
      <w:lvlJc w:val="left"/>
      <w:pPr>
        <w:ind w:left="5760" w:hanging="360"/>
      </w:pPr>
      <w:rPr>
        <w:rFonts w:hint="default" w:ascii="Courier New" w:hAnsi="Courier New"/>
      </w:rPr>
    </w:lvl>
    <w:lvl w:ilvl="8" w:tplc="71E25AC0">
      <w:start w:val="1"/>
      <w:numFmt w:val="bullet"/>
      <w:lvlText w:val=""/>
      <w:lvlJc w:val="left"/>
      <w:pPr>
        <w:ind w:left="6480" w:hanging="360"/>
      </w:pPr>
      <w:rPr>
        <w:rFonts w:hint="default" w:ascii="Wingdings" w:hAnsi="Wingdings"/>
      </w:rPr>
    </w:lvl>
  </w:abstractNum>
  <w:abstractNum w:abstractNumId="6" w15:restartNumberingAfterBreak="0">
    <w:nsid w:val="33266229"/>
    <w:multiLevelType w:val="hybridMultilevel"/>
    <w:tmpl w:val="040EF04E"/>
    <w:lvl w:ilvl="0" w:tplc="6B561B40">
      <w:start w:val="1"/>
      <w:numFmt w:val="bullet"/>
      <w:lvlText w:val=""/>
      <w:lvlJc w:val="left"/>
      <w:pPr>
        <w:ind w:left="720" w:hanging="360"/>
      </w:pPr>
      <w:rPr>
        <w:rFonts w:hint="default" w:ascii="Symbol" w:hAnsi="Symbol"/>
      </w:rPr>
    </w:lvl>
    <w:lvl w:ilvl="1" w:tplc="EB1421E2">
      <w:start w:val="1"/>
      <w:numFmt w:val="bullet"/>
      <w:lvlText w:val="o"/>
      <w:lvlJc w:val="left"/>
      <w:pPr>
        <w:ind w:left="1440" w:hanging="360"/>
      </w:pPr>
      <w:rPr>
        <w:rFonts w:hint="default" w:ascii="Courier New" w:hAnsi="Courier New"/>
      </w:rPr>
    </w:lvl>
    <w:lvl w:ilvl="2" w:tplc="5A0CF178">
      <w:start w:val="1"/>
      <w:numFmt w:val="bullet"/>
      <w:lvlText w:val=""/>
      <w:lvlJc w:val="left"/>
      <w:pPr>
        <w:ind w:left="2160" w:hanging="360"/>
      </w:pPr>
      <w:rPr>
        <w:rFonts w:hint="default" w:ascii="Wingdings" w:hAnsi="Wingdings"/>
      </w:rPr>
    </w:lvl>
    <w:lvl w:ilvl="3" w:tplc="1006F4C8">
      <w:start w:val="1"/>
      <w:numFmt w:val="bullet"/>
      <w:lvlText w:val=""/>
      <w:lvlJc w:val="left"/>
      <w:pPr>
        <w:ind w:left="2880" w:hanging="360"/>
      </w:pPr>
      <w:rPr>
        <w:rFonts w:hint="default" w:ascii="Symbol" w:hAnsi="Symbol"/>
      </w:rPr>
    </w:lvl>
    <w:lvl w:ilvl="4" w:tplc="4A7AC322">
      <w:start w:val="1"/>
      <w:numFmt w:val="bullet"/>
      <w:lvlText w:val="o"/>
      <w:lvlJc w:val="left"/>
      <w:pPr>
        <w:ind w:left="3600" w:hanging="360"/>
      </w:pPr>
      <w:rPr>
        <w:rFonts w:hint="default" w:ascii="Courier New" w:hAnsi="Courier New"/>
      </w:rPr>
    </w:lvl>
    <w:lvl w:ilvl="5" w:tplc="7AFED0F8">
      <w:start w:val="1"/>
      <w:numFmt w:val="bullet"/>
      <w:lvlText w:val=""/>
      <w:lvlJc w:val="left"/>
      <w:pPr>
        <w:ind w:left="4320" w:hanging="360"/>
      </w:pPr>
      <w:rPr>
        <w:rFonts w:hint="default" w:ascii="Wingdings" w:hAnsi="Wingdings"/>
      </w:rPr>
    </w:lvl>
    <w:lvl w:ilvl="6" w:tplc="4022B152">
      <w:start w:val="1"/>
      <w:numFmt w:val="bullet"/>
      <w:lvlText w:val=""/>
      <w:lvlJc w:val="left"/>
      <w:pPr>
        <w:ind w:left="5040" w:hanging="360"/>
      </w:pPr>
      <w:rPr>
        <w:rFonts w:hint="default" w:ascii="Symbol" w:hAnsi="Symbol"/>
      </w:rPr>
    </w:lvl>
    <w:lvl w:ilvl="7" w:tplc="0BC0277A">
      <w:start w:val="1"/>
      <w:numFmt w:val="bullet"/>
      <w:lvlText w:val="o"/>
      <w:lvlJc w:val="left"/>
      <w:pPr>
        <w:ind w:left="5760" w:hanging="360"/>
      </w:pPr>
      <w:rPr>
        <w:rFonts w:hint="default" w:ascii="Courier New" w:hAnsi="Courier New"/>
      </w:rPr>
    </w:lvl>
    <w:lvl w:ilvl="8" w:tplc="C63C87E2">
      <w:start w:val="1"/>
      <w:numFmt w:val="bullet"/>
      <w:lvlText w:val=""/>
      <w:lvlJc w:val="left"/>
      <w:pPr>
        <w:ind w:left="6480" w:hanging="360"/>
      </w:pPr>
      <w:rPr>
        <w:rFonts w:hint="default" w:ascii="Wingdings" w:hAnsi="Wingdings"/>
      </w:rPr>
    </w:lvl>
  </w:abstractNum>
  <w:abstractNum w:abstractNumId="7" w15:restartNumberingAfterBreak="0">
    <w:nsid w:val="3AA1D0FF"/>
    <w:multiLevelType w:val="hybridMultilevel"/>
    <w:tmpl w:val="554CCCF2"/>
    <w:lvl w:ilvl="0" w:tplc="16F2A8CA">
      <w:start w:val="1"/>
      <w:numFmt w:val="bullet"/>
      <w:lvlText w:val=""/>
      <w:lvlJc w:val="left"/>
      <w:pPr>
        <w:ind w:left="720" w:hanging="360"/>
      </w:pPr>
      <w:rPr>
        <w:rFonts w:hint="default" w:ascii="Symbol" w:hAnsi="Symbol"/>
      </w:rPr>
    </w:lvl>
    <w:lvl w:ilvl="1" w:tplc="C0145DC6">
      <w:start w:val="1"/>
      <w:numFmt w:val="bullet"/>
      <w:lvlText w:val="o"/>
      <w:lvlJc w:val="left"/>
      <w:pPr>
        <w:ind w:left="1440" w:hanging="360"/>
      </w:pPr>
      <w:rPr>
        <w:rFonts w:hint="default" w:ascii="Courier New" w:hAnsi="Courier New"/>
      </w:rPr>
    </w:lvl>
    <w:lvl w:ilvl="2" w:tplc="D6B6BB00">
      <w:start w:val="1"/>
      <w:numFmt w:val="bullet"/>
      <w:lvlText w:val=""/>
      <w:lvlJc w:val="left"/>
      <w:pPr>
        <w:ind w:left="2160" w:hanging="360"/>
      </w:pPr>
      <w:rPr>
        <w:rFonts w:hint="default" w:ascii="Wingdings" w:hAnsi="Wingdings"/>
      </w:rPr>
    </w:lvl>
    <w:lvl w:ilvl="3" w:tplc="9C165E66">
      <w:start w:val="1"/>
      <w:numFmt w:val="bullet"/>
      <w:lvlText w:val=""/>
      <w:lvlJc w:val="left"/>
      <w:pPr>
        <w:ind w:left="2880" w:hanging="360"/>
      </w:pPr>
      <w:rPr>
        <w:rFonts w:hint="default" w:ascii="Symbol" w:hAnsi="Symbol"/>
      </w:rPr>
    </w:lvl>
    <w:lvl w:ilvl="4" w:tplc="FAE23168">
      <w:start w:val="1"/>
      <w:numFmt w:val="bullet"/>
      <w:lvlText w:val="o"/>
      <w:lvlJc w:val="left"/>
      <w:pPr>
        <w:ind w:left="3600" w:hanging="360"/>
      </w:pPr>
      <w:rPr>
        <w:rFonts w:hint="default" w:ascii="Courier New" w:hAnsi="Courier New"/>
      </w:rPr>
    </w:lvl>
    <w:lvl w:ilvl="5" w:tplc="D820F716">
      <w:start w:val="1"/>
      <w:numFmt w:val="bullet"/>
      <w:lvlText w:val=""/>
      <w:lvlJc w:val="left"/>
      <w:pPr>
        <w:ind w:left="4320" w:hanging="360"/>
      </w:pPr>
      <w:rPr>
        <w:rFonts w:hint="default" w:ascii="Wingdings" w:hAnsi="Wingdings"/>
      </w:rPr>
    </w:lvl>
    <w:lvl w:ilvl="6" w:tplc="CBD43D00">
      <w:start w:val="1"/>
      <w:numFmt w:val="bullet"/>
      <w:lvlText w:val=""/>
      <w:lvlJc w:val="left"/>
      <w:pPr>
        <w:ind w:left="5040" w:hanging="360"/>
      </w:pPr>
      <w:rPr>
        <w:rFonts w:hint="default" w:ascii="Symbol" w:hAnsi="Symbol"/>
      </w:rPr>
    </w:lvl>
    <w:lvl w:ilvl="7" w:tplc="84427B94">
      <w:start w:val="1"/>
      <w:numFmt w:val="bullet"/>
      <w:lvlText w:val="o"/>
      <w:lvlJc w:val="left"/>
      <w:pPr>
        <w:ind w:left="5760" w:hanging="360"/>
      </w:pPr>
      <w:rPr>
        <w:rFonts w:hint="default" w:ascii="Courier New" w:hAnsi="Courier New"/>
      </w:rPr>
    </w:lvl>
    <w:lvl w:ilvl="8" w:tplc="6E38DDBA">
      <w:start w:val="1"/>
      <w:numFmt w:val="bullet"/>
      <w:lvlText w:val=""/>
      <w:lvlJc w:val="left"/>
      <w:pPr>
        <w:ind w:left="6480" w:hanging="360"/>
      </w:pPr>
      <w:rPr>
        <w:rFonts w:hint="default" w:ascii="Wingdings" w:hAnsi="Wingdings"/>
      </w:rPr>
    </w:lvl>
  </w:abstractNum>
  <w:abstractNum w:abstractNumId="8" w15:restartNumberingAfterBreak="0">
    <w:nsid w:val="3BEC2190"/>
    <w:multiLevelType w:val="hybridMultilevel"/>
    <w:tmpl w:val="D23868D0"/>
    <w:lvl w:ilvl="0" w:tplc="78FA77F0">
      <w:start w:val="1"/>
      <w:numFmt w:val="bullet"/>
      <w:lvlText w:val=""/>
      <w:lvlJc w:val="left"/>
      <w:pPr>
        <w:ind w:left="720" w:hanging="360"/>
      </w:pPr>
      <w:rPr>
        <w:rFonts w:hint="default" w:ascii="Symbol" w:hAnsi="Symbol"/>
      </w:rPr>
    </w:lvl>
    <w:lvl w:ilvl="1" w:tplc="9AFADFFC">
      <w:start w:val="1"/>
      <w:numFmt w:val="bullet"/>
      <w:lvlText w:val="o"/>
      <w:lvlJc w:val="left"/>
      <w:pPr>
        <w:ind w:left="1440" w:hanging="360"/>
      </w:pPr>
      <w:rPr>
        <w:rFonts w:hint="default" w:ascii="Courier New" w:hAnsi="Courier New"/>
      </w:rPr>
    </w:lvl>
    <w:lvl w:ilvl="2" w:tplc="543A8C0E">
      <w:start w:val="1"/>
      <w:numFmt w:val="bullet"/>
      <w:lvlText w:val=""/>
      <w:lvlJc w:val="left"/>
      <w:pPr>
        <w:ind w:left="2160" w:hanging="360"/>
      </w:pPr>
      <w:rPr>
        <w:rFonts w:hint="default" w:ascii="Wingdings" w:hAnsi="Wingdings"/>
      </w:rPr>
    </w:lvl>
    <w:lvl w:ilvl="3" w:tplc="9BA45B54">
      <w:start w:val="1"/>
      <w:numFmt w:val="bullet"/>
      <w:lvlText w:val=""/>
      <w:lvlJc w:val="left"/>
      <w:pPr>
        <w:ind w:left="2880" w:hanging="360"/>
      </w:pPr>
      <w:rPr>
        <w:rFonts w:hint="default" w:ascii="Symbol" w:hAnsi="Symbol"/>
      </w:rPr>
    </w:lvl>
    <w:lvl w:ilvl="4" w:tplc="3C6C8EDC">
      <w:start w:val="1"/>
      <w:numFmt w:val="bullet"/>
      <w:lvlText w:val="o"/>
      <w:lvlJc w:val="left"/>
      <w:pPr>
        <w:ind w:left="3600" w:hanging="360"/>
      </w:pPr>
      <w:rPr>
        <w:rFonts w:hint="default" w:ascii="Courier New" w:hAnsi="Courier New"/>
      </w:rPr>
    </w:lvl>
    <w:lvl w:ilvl="5" w:tplc="F034B5A2">
      <w:start w:val="1"/>
      <w:numFmt w:val="bullet"/>
      <w:lvlText w:val=""/>
      <w:lvlJc w:val="left"/>
      <w:pPr>
        <w:ind w:left="4320" w:hanging="360"/>
      </w:pPr>
      <w:rPr>
        <w:rFonts w:hint="default" w:ascii="Wingdings" w:hAnsi="Wingdings"/>
      </w:rPr>
    </w:lvl>
    <w:lvl w:ilvl="6" w:tplc="7786DBAA">
      <w:start w:val="1"/>
      <w:numFmt w:val="bullet"/>
      <w:lvlText w:val=""/>
      <w:lvlJc w:val="left"/>
      <w:pPr>
        <w:ind w:left="5040" w:hanging="360"/>
      </w:pPr>
      <w:rPr>
        <w:rFonts w:hint="default" w:ascii="Symbol" w:hAnsi="Symbol"/>
      </w:rPr>
    </w:lvl>
    <w:lvl w:ilvl="7" w:tplc="910CEAB6">
      <w:start w:val="1"/>
      <w:numFmt w:val="bullet"/>
      <w:lvlText w:val="o"/>
      <w:lvlJc w:val="left"/>
      <w:pPr>
        <w:ind w:left="5760" w:hanging="360"/>
      </w:pPr>
      <w:rPr>
        <w:rFonts w:hint="default" w:ascii="Courier New" w:hAnsi="Courier New"/>
      </w:rPr>
    </w:lvl>
    <w:lvl w:ilvl="8" w:tplc="090AFDEA">
      <w:start w:val="1"/>
      <w:numFmt w:val="bullet"/>
      <w:lvlText w:val=""/>
      <w:lvlJc w:val="left"/>
      <w:pPr>
        <w:ind w:left="6480" w:hanging="360"/>
      </w:pPr>
      <w:rPr>
        <w:rFonts w:hint="default" w:ascii="Wingdings" w:hAnsi="Wingdings"/>
      </w:rPr>
    </w:lvl>
  </w:abstractNum>
  <w:abstractNum w:abstractNumId="9" w15:restartNumberingAfterBreak="0">
    <w:nsid w:val="3DDB3F1D"/>
    <w:multiLevelType w:val="multilevel"/>
    <w:tmpl w:val="15E8C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657DF5"/>
    <w:multiLevelType w:val="hybridMultilevel"/>
    <w:tmpl w:val="4C6A01D4"/>
    <w:lvl w:ilvl="0" w:tplc="70F83B9E">
      <w:start w:val="1"/>
      <w:numFmt w:val="bullet"/>
      <w:lvlText w:val=""/>
      <w:lvlJc w:val="left"/>
      <w:pPr>
        <w:ind w:left="720" w:hanging="360"/>
      </w:pPr>
      <w:rPr>
        <w:rFonts w:hint="default" w:ascii="Symbol" w:hAnsi="Symbol"/>
      </w:rPr>
    </w:lvl>
    <w:lvl w:ilvl="1" w:tplc="A86851EE">
      <w:start w:val="1"/>
      <w:numFmt w:val="bullet"/>
      <w:lvlText w:val="o"/>
      <w:lvlJc w:val="left"/>
      <w:pPr>
        <w:ind w:left="1440" w:hanging="360"/>
      </w:pPr>
      <w:rPr>
        <w:rFonts w:hint="default" w:ascii="Courier New" w:hAnsi="Courier New"/>
      </w:rPr>
    </w:lvl>
    <w:lvl w:ilvl="2" w:tplc="AC223602">
      <w:start w:val="1"/>
      <w:numFmt w:val="bullet"/>
      <w:lvlText w:val=""/>
      <w:lvlJc w:val="left"/>
      <w:pPr>
        <w:ind w:left="2160" w:hanging="360"/>
      </w:pPr>
      <w:rPr>
        <w:rFonts w:hint="default" w:ascii="Wingdings" w:hAnsi="Wingdings"/>
      </w:rPr>
    </w:lvl>
    <w:lvl w:ilvl="3" w:tplc="358C84B2">
      <w:start w:val="1"/>
      <w:numFmt w:val="bullet"/>
      <w:lvlText w:val=""/>
      <w:lvlJc w:val="left"/>
      <w:pPr>
        <w:ind w:left="2880" w:hanging="360"/>
      </w:pPr>
      <w:rPr>
        <w:rFonts w:hint="default" w:ascii="Symbol" w:hAnsi="Symbol"/>
      </w:rPr>
    </w:lvl>
    <w:lvl w:ilvl="4" w:tplc="181C6008">
      <w:start w:val="1"/>
      <w:numFmt w:val="bullet"/>
      <w:lvlText w:val="o"/>
      <w:lvlJc w:val="left"/>
      <w:pPr>
        <w:ind w:left="3600" w:hanging="360"/>
      </w:pPr>
      <w:rPr>
        <w:rFonts w:hint="default" w:ascii="Courier New" w:hAnsi="Courier New"/>
      </w:rPr>
    </w:lvl>
    <w:lvl w:ilvl="5" w:tplc="7EFE5362">
      <w:start w:val="1"/>
      <w:numFmt w:val="bullet"/>
      <w:lvlText w:val=""/>
      <w:lvlJc w:val="left"/>
      <w:pPr>
        <w:ind w:left="4320" w:hanging="360"/>
      </w:pPr>
      <w:rPr>
        <w:rFonts w:hint="default" w:ascii="Wingdings" w:hAnsi="Wingdings"/>
      </w:rPr>
    </w:lvl>
    <w:lvl w:ilvl="6" w:tplc="50D0A250">
      <w:start w:val="1"/>
      <w:numFmt w:val="bullet"/>
      <w:lvlText w:val=""/>
      <w:lvlJc w:val="left"/>
      <w:pPr>
        <w:ind w:left="5040" w:hanging="360"/>
      </w:pPr>
      <w:rPr>
        <w:rFonts w:hint="default" w:ascii="Symbol" w:hAnsi="Symbol"/>
      </w:rPr>
    </w:lvl>
    <w:lvl w:ilvl="7" w:tplc="8366671C">
      <w:start w:val="1"/>
      <w:numFmt w:val="bullet"/>
      <w:lvlText w:val="o"/>
      <w:lvlJc w:val="left"/>
      <w:pPr>
        <w:ind w:left="5760" w:hanging="360"/>
      </w:pPr>
      <w:rPr>
        <w:rFonts w:hint="default" w:ascii="Courier New" w:hAnsi="Courier New"/>
      </w:rPr>
    </w:lvl>
    <w:lvl w:ilvl="8" w:tplc="FFA8775A">
      <w:start w:val="1"/>
      <w:numFmt w:val="bullet"/>
      <w:lvlText w:val=""/>
      <w:lvlJc w:val="left"/>
      <w:pPr>
        <w:ind w:left="6480" w:hanging="360"/>
      </w:pPr>
      <w:rPr>
        <w:rFonts w:hint="default" w:ascii="Wingdings" w:hAnsi="Wingdings"/>
      </w:rPr>
    </w:lvl>
  </w:abstractNum>
  <w:abstractNum w:abstractNumId="11" w15:restartNumberingAfterBreak="0">
    <w:nsid w:val="416D3E1D"/>
    <w:multiLevelType w:val="hybridMultilevel"/>
    <w:tmpl w:val="1A186878"/>
    <w:lvl w:ilvl="0" w:tplc="3EE67726">
      <w:start w:val="1"/>
      <w:numFmt w:val="bullet"/>
      <w:lvlText w:val=""/>
      <w:lvlJc w:val="left"/>
      <w:pPr>
        <w:ind w:left="720" w:hanging="360"/>
      </w:pPr>
      <w:rPr>
        <w:rFonts w:hint="default" w:ascii="Symbol" w:hAnsi="Symbol"/>
      </w:rPr>
    </w:lvl>
    <w:lvl w:ilvl="1" w:tplc="7786C5E4">
      <w:start w:val="1"/>
      <w:numFmt w:val="bullet"/>
      <w:lvlText w:val="o"/>
      <w:lvlJc w:val="left"/>
      <w:pPr>
        <w:ind w:left="1440" w:hanging="360"/>
      </w:pPr>
      <w:rPr>
        <w:rFonts w:hint="default" w:ascii="Courier New" w:hAnsi="Courier New"/>
      </w:rPr>
    </w:lvl>
    <w:lvl w:ilvl="2" w:tplc="6818F1E2">
      <w:start w:val="1"/>
      <w:numFmt w:val="bullet"/>
      <w:lvlText w:val=""/>
      <w:lvlJc w:val="left"/>
      <w:pPr>
        <w:ind w:left="2160" w:hanging="360"/>
      </w:pPr>
      <w:rPr>
        <w:rFonts w:hint="default" w:ascii="Wingdings" w:hAnsi="Wingdings"/>
      </w:rPr>
    </w:lvl>
    <w:lvl w:ilvl="3" w:tplc="01E05CFE">
      <w:start w:val="1"/>
      <w:numFmt w:val="bullet"/>
      <w:lvlText w:val=""/>
      <w:lvlJc w:val="left"/>
      <w:pPr>
        <w:ind w:left="2880" w:hanging="360"/>
      </w:pPr>
      <w:rPr>
        <w:rFonts w:hint="default" w:ascii="Symbol" w:hAnsi="Symbol"/>
      </w:rPr>
    </w:lvl>
    <w:lvl w:ilvl="4" w:tplc="FF1EBAAE">
      <w:start w:val="1"/>
      <w:numFmt w:val="bullet"/>
      <w:lvlText w:val="o"/>
      <w:lvlJc w:val="left"/>
      <w:pPr>
        <w:ind w:left="3600" w:hanging="360"/>
      </w:pPr>
      <w:rPr>
        <w:rFonts w:hint="default" w:ascii="Courier New" w:hAnsi="Courier New"/>
      </w:rPr>
    </w:lvl>
    <w:lvl w:ilvl="5" w:tplc="1D5CA6A2">
      <w:start w:val="1"/>
      <w:numFmt w:val="bullet"/>
      <w:lvlText w:val=""/>
      <w:lvlJc w:val="left"/>
      <w:pPr>
        <w:ind w:left="4320" w:hanging="360"/>
      </w:pPr>
      <w:rPr>
        <w:rFonts w:hint="default" w:ascii="Wingdings" w:hAnsi="Wingdings"/>
      </w:rPr>
    </w:lvl>
    <w:lvl w:ilvl="6" w:tplc="47503432">
      <w:start w:val="1"/>
      <w:numFmt w:val="bullet"/>
      <w:lvlText w:val=""/>
      <w:lvlJc w:val="left"/>
      <w:pPr>
        <w:ind w:left="5040" w:hanging="360"/>
      </w:pPr>
      <w:rPr>
        <w:rFonts w:hint="default" w:ascii="Symbol" w:hAnsi="Symbol"/>
      </w:rPr>
    </w:lvl>
    <w:lvl w:ilvl="7" w:tplc="E5465948">
      <w:start w:val="1"/>
      <w:numFmt w:val="bullet"/>
      <w:lvlText w:val="o"/>
      <w:lvlJc w:val="left"/>
      <w:pPr>
        <w:ind w:left="5760" w:hanging="360"/>
      </w:pPr>
      <w:rPr>
        <w:rFonts w:hint="default" w:ascii="Courier New" w:hAnsi="Courier New"/>
      </w:rPr>
    </w:lvl>
    <w:lvl w:ilvl="8" w:tplc="8356E44C">
      <w:start w:val="1"/>
      <w:numFmt w:val="bullet"/>
      <w:lvlText w:val=""/>
      <w:lvlJc w:val="left"/>
      <w:pPr>
        <w:ind w:left="6480" w:hanging="360"/>
      </w:pPr>
      <w:rPr>
        <w:rFonts w:hint="default" w:ascii="Wingdings" w:hAnsi="Wingdings"/>
      </w:rPr>
    </w:lvl>
  </w:abstractNum>
  <w:abstractNum w:abstractNumId="12" w15:restartNumberingAfterBreak="0">
    <w:nsid w:val="443FFBB6"/>
    <w:multiLevelType w:val="hybridMultilevel"/>
    <w:tmpl w:val="24AAF8AE"/>
    <w:lvl w:ilvl="0" w:tplc="F7B0CFAA">
      <w:start w:val="1"/>
      <w:numFmt w:val="bullet"/>
      <w:lvlText w:val=""/>
      <w:lvlJc w:val="left"/>
      <w:pPr>
        <w:ind w:left="720" w:hanging="360"/>
      </w:pPr>
      <w:rPr>
        <w:rFonts w:hint="default" w:ascii="Symbol" w:hAnsi="Symbol"/>
      </w:rPr>
    </w:lvl>
    <w:lvl w:ilvl="1" w:tplc="6D76CF86">
      <w:start w:val="1"/>
      <w:numFmt w:val="bullet"/>
      <w:lvlText w:val="o"/>
      <w:lvlJc w:val="left"/>
      <w:pPr>
        <w:ind w:left="1440" w:hanging="360"/>
      </w:pPr>
      <w:rPr>
        <w:rFonts w:hint="default" w:ascii="Courier New" w:hAnsi="Courier New"/>
      </w:rPr>
    </w:lvl>
    <w:lvl w:ilvl="2" w:tplc="C276ADCE">
      <w:start w:val="1"/>
      <w:numFmt w:val="bullet"/>
      <w:lvlText w:val=""/>
      <w:lvlJc w:val="left"/>
      <w:pPr>
        <w:ind w:left="2160" w:hanging="360"/>
      </w:pPr>
      <w:rPr>
        <w:rFonts w:hint="default" w:ascii="Wingdings" w:hAnsi="Wingdings"/>
      </w:rPr>
    </w:lvl>
    <w:lvl w:ilvl="3" w:tplc="569E50A0">
      <w:start w:val="1"/>
      <w:numFmt w:val="bullet"/>
      <w:lvlText w:val=""/>
      <w:lvlJc w:val="left"/>
      <w:pPr>
        <w:ind w:left="2880" w:hanging="360"/>
      </w:pPr>
      <w:rPr>
        <w:rFonts w:hint="default" w:ascii="Symbol" w:hAnsi="Symbol"/>
      </w:rPr>
    </w:lvl>
    <w:lvl w:ilvl="4" w:tplc="6218A40E">
      <w:start w:val="1"/>
      <w:numFmt w:val="bullet"/>
      <w:lvlText w:val="o"/>
      <w:lvlJc w:val="left"/>
      <w:pPr>
        <w:ind w:left="3600" w:hanging="360"/>
      </w:pPr>
      <w:rPr>
        <w:rFonts w:hint="default" w:ascii="Courier New" w:hAnsi="Courier New"/>
      </w:rPr>
    </w:lvl>
    <w:lvl w:ilvl="5" w:tplc="4A087F00">
      <w:start w:val="1"/>
      <w:numFmt w:val="bullet"/>
      <w:lvlText w:val=""/>
      <w:lvlJc w:val="left"/>
      <w:pPr>
        <w:ind w:left="4320" w:hanging="360"/>
      </w:pPr>
      <w:rPr>
        <w:rFonts w:hint="default" w:ascii="Wingdings" w:hAnsi="Wingdings"/>
      </w:rPr>
    </w:lvl>
    <w:lvl w:ilvl="6" w:tplc="C7A2280A">
      <w:start w:val="1"/>
      <w:numFmt w:val="bullet"/>
      <w:lvlText w:val=""/>
      <w:lvlJc w:val="left"/>
      <w:pPr>
        <w:ind w:left="5040" w:hanging="360"/>
      </w:pPr>
      <w:rPr>
        <w:rFonts w:hint="default" w:ascii="Symbol" w:hAnsi="Symbol"/>
      </w:rPr>
    </w:lvl>
    <w:lvl w:ilvl="7" w:tplc="7C9CCD80">
      <w:start w:val="1"/>
      <w:numFmt w:val="bullet"/>
      <w:lvlText w:val="o"/>
      <w:lvlJc w:val="left"/>
      <w:pPr>
        <w:ind w:left="5760" w:hanging="360"/>
      </w:pPr>
      <w:rPr>
        <w:rFonts w:hint="default" w:ascii="Courier New" w:hAnsi="Courier New"/>
      </w:rPr>
    </w:lvl>
    <w:lvl w:ilvl="8" w:tplc="448061D6">
      <w:start w:val="1"/>
      <w:numFmt w:val="bullet"/>
      <w:lvlText w:val=""/>
      <w:lvlJc w:val="left"/>
      <w:pPr>
        <w:ind w:left="6480" w:hanging="360"/>
      </w:pPr>
      <w:rPr>
        <w:rFonts w:hint="default" w:ascii="Wingdings" w:hAnsi="Wingdings"/>
      </w:rPr>
    </w:lvl>
  </w:abstractNum>
  <w:abstractNum w:abstractNumId="13" w15:restartNumberingAfterBreak="0">
    <w:nsid w:val="4D01C78B"/>
    <w:multiLevelType w:val="hybridMultilevel"/>
    <w:tmpl w:val="C4A0E322"/>
    <w:lvl w:ilvl="0" w:tplc="1ECCD740">
      <w:start w:val="1"/>
      <w:numFmt w:val="bullet"/>
      <w:lvlText w:val=""/>
      <w:lvlJc w:val="left"/>
      <w:pPr>
        <w:ind w:left="720" w:hanging="360"/>
      </w:pPr>
      <w:rPr>
        <w:rFonts w:hint="default" w:ascii="Symbol" w:hAnsi="Symbol"/>
      </w:rPr>
    </w:lvl>
    <w:lvl w:ilvl="1" w:tplc="74E84864">
      <w:start w:val="1"/>
      <w:numFmt w:val="bullet"/>
      <w:lvlText w:val="o"/>
      <w:lvlJc w:val="left"/>
      <w:pPr>
        <w:ind w:left="1440" w:hanging="360"/>
      </w:pPr>
      <w:rPr>
        <w:rFonts w:hint="default" w:ascii="Courier New" w:hAnsi="Courier New"/>
      </w:rPr>
    </w:lvl>
    <w:lvl w:ilvl="2" w:tplc="8D24378A">
      <w:start w:val="1"/>
      <w:numFmt w:val="bullet"/>
      <w:lvlText w:val=""/>
      <w:lvlJc w:val="left"/>
      <w:pPr>
        <w:ind w:left="2160" w:hanging="360"/>
      </w:pPr>
      <w:rPr>
        <w:rFonts w:hint="default" w:ascii="Wingdings" w:hAnsi="Wingdings"/>
      </w:rPr>
    </w:lvl>
    <w:lvl w:ilvl="3" w:tplc="3118DA2E">
      <w:start w:val="1"/>
      <w:numFmt w:val="bullet"/>
      <w:lvlText w:val=""/>
      <w:lvlJc w:val="left"/>
      <w:pPr>
        <w:ind w:left="2880" w:hanging="360"/>
      </w:pPr>
      <w:rPr>
        <w:rFonts w:hint="default" w:ascii="Symbol" w:hAnsi="Symbol"/>
      </w:rPr>
    </w:lvl>
    <w:lvl w:ilvl="4" w:tplc="A1AA6AF4">
      <w:start w:val="1"/>
      <w:numFmt w:val="bullet"/>
      <w:lvlText w:val="o"/>
      <w:lvlJc w:val="left"/>
      <w:pPr>
        <w:ind w:left="3600" w:hanging="360"/>
      </w:pPr>
      <w:rPr>
        <w:rFonts w:hint="default" w:ascii="Courier New" w:hAnsi="Courier New"/>
      </w:rPr>
    </w:lvl>
    <w:lvl w:ilvl="5" w:tplc="8690B2D2">
      <w:start w:val="1"/>
      <w:numFmt w:val="bullet"/>
      <w:lvlText w:val=""/>
      <w:lvlJc w:val="left"/>
      <w:pPr>
        <w:ind w:left="4320" w:hanging="360"/>
      </w:pPr>
      <w:rPr>
        <w:rFonts w:hint="default" w:ascii="Wingdings" w:hAnsi="Wingdings"/>
      </w:rPr>
    </w:lvl>
    <w:lvl w:ilvl="6" w:tplc="9B5CA040">
      <w:start w:val="1"/>
      <w:numFmt w:val="bullet"/>
      <w:lvlText w:val=""/>
      <w:lvlJc w:val="left"/>
      <w:pPr>
        <w:ind w:left="5040" w:hanging="360"/>
      </w:pPr>
      <w:rPr>
        <w:rFonts w:hint="default" w:ascii="Symbol" w:hAnsi="Symbol"/>
      </w:rPr>
    </w:lvl>
    <w:lvl w:ilvl="7" w:tplc="208E7014">
      <w:start w:val="1"/>
      <w:numFmt w:val="bullet"/>
      <w:lvlText w:val="o"/>
      <w:lvlJc w:val="left"/>
      <w:pPr>
        <w:ind w:left="5760" w:hanging="360"/>
      </w:pPr>
      <w:rPr>
        <w:rFonts w:hint="default" w:ascii="Courier New" w:hAnsi="Courier New"/>
      </w:rPr>
    </w:lvl>
    <w:lvl w:ilvl="8" w:tplc="08BEBB36">
      <w:start w:val="1"/>
      <w:numFmt w:val="bullet"/>
      <w:lvlText w:val=""/>
      <w:lvlJc w:val="left"/>
      <w:pPr>
        <w:ind w:left="6480" w:hanging="360"/>
      </w:pPr>
      <w:rPr>
        <w:rFonts w:hint="default" w:ascii="Wingdings" w:hAnsi="Wingdings"/>
      </w:rPr>
    </w:lvl>
  </w:abstractNum>
  <w:abstractNum w:abstractNumId="14" w15:restartNumberingAfterBreak="0">
    <w:nsid w:val="585FD881"/>
    <w:multiLevelType w:val="hybridMultilevel"/>
    <w:tmpl w:val="DAD84E12"/>
    <w:lvl w:ilvl="0" w:tplc="A1500E94">
      <w:start w:val="1"/>
      <w:numFmt w:val="bullet"/>
      <w:lvlText w:val=""/>
      <w:lvlJc w:val="left"/>
      <w:pPr>
        <w:ind w:left="720" w:hanging="360"/>
      </w:pPr>
      <w:rPr>
        <w:rFonts w:hint="default" w:ascii="Symbol" w:hAnsi="Symbol"/>
      </w:rPr>
    </w:lvl>
    <w:lvl w:ilvl="1" w:tplc="86C259E0">
      <w:start w:val="1"/>
      <w:numFmt w:val="bullet"/>
      <w:lvlText w:val="o"/>
      <w:lvlJc w:val="left"/>
      <w:pPr>
        <w:ind w:left="1440" w:hanging="360"/>
      </w:pPr>
      <w:rPr>
        <w:rFonts w:hint="default" w:ascii="Courier New" w:hAnsi="Courier New"/>
      </w:rPr>
    </w:lvl>
    <w:lvl w:ilvl="2" w:tplc="7B5AD144">
      <w:start w:val="1"/>
      <w:numFmt w:val="bullet"/>
      <w:lvlText w:val=""/>
      <w:lvlJc w:val="left"/>
      <w:pPr>
        <w:ind w:left="2160" w:hanging="360"/>
      </w:pPr>
      <w:rPr>
        <w:rFonts w:hint="default" w:ascii="Wingdings" w:hAnsi="Wingdings"/>
      </w:rPr>
    </w:lvl>
    <w:lvl w:ilvl="3" w:tplc="A9942D24">
      <w:start w:val="1"/>
      <w:numFmt w:val="bullet"/>
      <w:lvlText w:val=""/>
      <w:lvlJc w:val="left"/>
      <w:pPr>
        <w:ind w:left="2880" w:hanging="360"/>
      </w:pPr>
      <w:rPr>
        <w:rFonts w:hint="default" w:ascii="Symbol" w:hAnsi="Symbol"/>
      </w:rPr>
    </w:lvl>
    <w:lvl w:ilvl="4" w:tplc="399207BE">
      <w:start w:val="1"/>
      <w:numFmt w:val="bullet"/>
      <w:lvlText w:val="o"/>
      <w:lvlJc w:val="left"/>
      <w:pPr>
        <w:ind w:left="3600" w:hanging="360"/>
      </w:pPr>
      <w:rPr>
        <w:rFonts w:hint="default" w:ascii="Courier New" w:hAnsi="Courier New"/>
      </w:rPr>
    </w:lvl>
    <w:lvl w:ilvl="5" w:tplc="856E4A10">
      <w:start w:val="1"/>
      <w:numFmt w:val="bullet"/>
      <w:lvlText w:val=""/>
      <w:lvlJc w:val="left"/>
      <w:pPr>
        <w:ind w:left="4320" w:hanging="360"/>
      </w:pPr>
      <w:rPr>
        <w:rFonts w:hint="default" w:ascii="Wingdings" w:hAnsi="Wingdings"/>
      </w:rPr>
    </w:lvl>
    <w:lvl w:ilvl="6" w:tplc="C2B423D8">
      <w:start w:val="1"/>
      <w:numFmt w:val="bullet"/>
      <w:lvlText w:val=""/>
      <w:lvlJc w:val="left"/>
      <w:pPr>
        <w:ind w:left="5040" w:hanging="360"/>
      </w:pPr>
      <w:rPr>
        <w:rFonts w:hint="default" w:ascii="Symbol" w:hAnsi="Symbol"/>
      </w:rPr>
    </w:lvl>
    <w:lvl w:ilvl="7" w:tplc="961C460A">
      <w:start w:val="1"/>
      <w:numFmt w:val="bullet"/>
      <w:lvlText w:val="o"/>
      <w:lvlJc w:val="left"/>
      <w:pPr>
        <w:ind w:left="5760" w:hanging="360"/>
      </w:pPr>
      <w:rPr>
        <w:rFonts w:hint="default" w:ascii="Courier New" w:hAnsi="Courier New"/>
      </w:rPr>
    </w:lvl>
    <w:lvl w:ilvl="8" w:tplc="6F78ADA0">
      <w:start w:val="1"/>
      <w:numFmt w:val="bullet"/>
      <w:lvlText w:val=""/>
      <w:lvlJc w:val="left"/>
      <w:pPr>
        <w:ind w:left="6480" w:hanging="360"/>
      </w:pPr>
      <w:rPr>
        <w:rFonts w:hint="default" w:ascii="Wingdings" w:hAnsi="Wingdings"/>
      </w:rPr>
    </w:lvl>
  </w:abstractNum>
  <w:abstractNum w:abstractNumId="15" w15:restartNumberingAfterBreak="0">
    <w:nsid w:val="5B3F6341"/>
    <w:multiLevelType w:val="hybridMultilevel"/>
    <w:tmpl w:val="EF74EBA0"/>
    <w:lvl w:ilvl="0" w:tplc="16AAD6EC">
      <w:start w:val="1"/>
      <w:numFmt w:val="bullet"/>
      <w:lvlText w:val=""/>
      <w:lvlJc w:val="left"/>
      <w:pPr>
        <w:ind w:left="720" w:hanging="360"/>
      </w:pPr>
      <w:rPr>
        <w:rFonts w:hint="default" w:ascii="Symbol" w:hAnsi="Symbol"/>
      </w:rPr>
    </w:lvl>
    <w:lvl w:ilvl="1" w:tplc="CB6454EE">
      <w:start w:val="1"/>
      <w:numFmt w:val="bullet"/>
      <w:lvlText w:val="o"/>
      <w:lvlJc w:val="left"/>
      <w:pPr>
        <w:ind w:left="1440" w:hanging="360"/>
      </w:pPr>
      <w:rPr>
        <w:rFonts w:hint="default" w:ascii="Courier New" w:hAnsi="Courier New"/>
      </w:rPr>
    </w:lvl>
    <w:lvl w:ilvl="2" w:tplc="8A06B0DE">
      <w:start w:val="1"/>
      <w:numFmt w:val="bullet"/>
      <w:lvlText w:val=""/>
      <w:lvlJc w:val="left"/>
      <w:pPr>
        <w:ind w:left="2160" w:hanging="360"/>
      </w:pPr>
      <w:rPr>
        <w:rFonts w:hint="default" w:ascii="Wingdings" w:hAnsi="Wingdings"/>
      </w:rPr>
    </w:lvl>
    <w:lvl w:ilvl="3" w:tplc="DEC84DEA">
      <w:start w:val="1"/>
      <w:numFmt w:val="bullet"/>
      <w:lvlText w:val=""/>
      <w:lvlJc w:val="left"/>
      <w:pPr>
        <w:ind w:left="2880" w:hanging="360"/>
      </w:pPr>
      <w:rPr>
        <w:rFonts w:hint="default" w:ascii="Symbol" w:hAnsi="Symbol"/>
      </w:rPr>
    </w:lvl>
    <w:lvl w:ilvl="4" w:tplc="7BF02B72">
      <w:start w:val="1"/>
      <w:numFmt w:val="bullet"/>
      <w:lvlText w:val="o"/>
      <w:lvlJc w:val="left"/>
      <w:pPr>
        <w:ind w:left="3600" w:hanging="360"/>
      </w:pPr>
      <w:rPr>
        <w:rFonts w:hint="default" w:ascii="Courier New" w:hAnsi="Courier New"/>
      </w:rPr>
    </w:lvl>
    <w:lvl w:ilvl="5" w:tplc="43822AF4">
      <w:start w:val="1"/>
      <w:numFmt w:val="bullet"/>
      <w:lvlText w:val=""/>
      <w:lvlJc w:val="left"/>
      <w:pPr>
        <w:ind w:left="4320" w:hanging="360"/>
      </w:pPr>
      <w:rPr>
        <w:rFonts w:hint="default" w:ascii="Wingdings" w:hAnsi="Wingdings"/>
      </w:rPr>
    </w:lvl>
    <w:lvl w:ilvl="6" w:tplc="43E8A198">
      <w:start w:val="1"/>
      <w:numFmt w:val="bullet"/>
      <w:lvlText w:val=""/>
      <w:lvlJc w:val="left"/>
      <w:pPr>
        <w:ind w:left="5040" w:hanging="360"/>
      </w:pPr>
      <w:rPr>
        <w:rFonts w:hint="default" w:ascii="Symbol" w:hAnsi="Symbol"/>
      </w:rPr>
    </w:lvl>
    <w:lvl w:ilvl="7" w:tplc="E19003CE">
      <w:start w:val="1"/>
      <w:numFmt w:val="bullet"/>
      <w:lvlText w:val="o"/>
      <w:lvlJc w:val="left"/>
      <w:pPr>
        <w:ind w:left="5760" w:hanging="360"/>
      </w:pPr>
      <w:rPr>
        <w:rFonts w:hint="default" w:ascii="Courier New" w:hAnsi="Courier New"/>
      </w:rPr>
    </w:lvl>
    <w:lvl w:ilvl="8" w:tplc="2EBC6EE4">
      <w:start w:val="1"/>
      <w:numFmt w:val="bullet"/>
      <w:lvlText w:val=""/>
      <w:lvlJc w:val="left"/>
      <w:pPr>
        <w:ind w:left="6480" w:hanging="360"/>
      </w:pPr>
      <w:rPr>
        <w:rFonts w:hint="default" w:ascii="Wingdings" w:hAnsi="Wingdings"/>
      </w:rPr>
    </w:lvl>
  </w:abstractNum>
  <w:abstractNum w:abstractNumId="16" w15:restartNumberingAfterBreak="0">
    <w:nsid w:val="6244E9CB"/>
    <w:multiLevelType w:val="hybridMultilevel"/>
    <w:tmpl w:val="EA3E076E"/>
    <w:lvl w:ilvl="0" w:tplc="79508CEA">
      <w:start w:val="1"/>
      <w:numFmt w:val="bullet"/>
      <w:lvlText w:val=""/>
      <w:lvlJc w:val="left"/>
      <w:pPr>
        <w:ind w:left="720" w:hanging="360"/>
      </w:pPr>
      <w:rPr>
        <w:rFonts w:hint="default" w:ascii="Symbol" w:hAnsi="Symbol"/>
      </w:rPr>
    </w:lvl>
    <w:lvl w:ilvl="1" w:tplc="80BC5154">
      <w:start w:val="1"/>
      <w:numFmt w:val="bullet"/>
      <w:lvlText w:val="o"/>
      <w:lvlJc w:val="left"/>
      <w:pPr>
        <w:ind w:left="1440" w:hanging="360"/>
      </w:pPr>
      <w:rPr>
        <w:rFonts w:hint="default" w:ascii="Courier New" w:hAnsi="Courier New"/>
      </w:rPr>
    </w:lvl>
    <w:lvl w:ilvl="2" w:tplc="9C8AE500">
      <w:start w:val="1"/>
      <w:numFmt w:val="bullet"/>
      <w:lvlText w:val=""/>
      <w:lvlJc w:val="left"/>
      <w:pPr>
        <w:ind w:left="2160" w:hanging="360"/>
      </w:pPr>
      <w:rPr>
        <w:rFonts w:hint="default" w:ascii="Wingdings" w:hAnsi="Wingdings"/>
      </w:rPr>
    </w:lvl>
    <w:lvl w:ilvl="3" w:tplc="D2C093DE">
      <w:start w:val="1"/>
      <w:numFmt w:val="bullet"/>
      <w:lvlText w:val=""/>
      <w:lvlJc w:val="left"/>
      <w:pPr>
        <w:ind w:left="2880" w:hanging="360"/>
      </w:pPr>
      <w:rPr>
        <w:rFonts w:hint="default" w:ascii="Symbol" w:hAnsi="Symbol"/>
      </w:rPr>
    </w:lvl>
    <w:lvl w:ilvl="4" w:tplc="4ABEDAE6">
      <w:start w:val="1"/>
      <w:numFmt w:val="bullet"/>
      <w:lvlText w:val="o"/>
      <w:lvlJc w:val="left"/>
      <w:pPr>
        <w:ind w:left="3600" w:hanging="360"/>
      </w:pPr>
      <w:rPr>
        <w:rFonts w:hint="default" w:ascii="Courier New" w:hAnsi="Courier New"/>
      </w:rPr>
    </w:lvl>
    <w:lvl w:ilvl="5" w:tplc="4D24D38E">
      <w:start w:val="1"/>
      <w:numFmt w:val="bullet"/>
      <w:lvlText w:val=""/>
      <w:lvlJc w:val="left"/>
      <w:pPr>
        <w:ind w:left="4320" w:hanging="360"/>
      </w:pPr>
      <w:rPr>
        <w:rFonts w:hint="default" w:ascii="Wingdings" w:hAnsi="Wingdings"/>
      </w:rPr>
    </w:lvl>
    <w:lvl w:ilvl="6" w:tplc="6EA05A0C">
      <w:start w:val="1"/>
      <w:numFmt w:val="bullet"/>
      <w:lvlText w:val=""/>
      <w:lvlJc w:val="left"/>
      <w:pPr>
        <w:ind w:left="5040" w:hanging="360"/>
      </w:pPr>
      <w:rPr>
        <w:rFonts w:hint="default" w:ascii="Symbol" w:hAnsi="Symbol"/>
      </w:rPr>
    </w:lvl>
    <w:lvl w:ilvl="7" w:tplc="148A5BFC">
      <w:start w:val="1"/>
      <w:numFmt w:val="bullet"/>
      <w:lvlText w:val="o"/>
      <w:lvlJc w:val="left"/>
      <w:pPr>
        <w:ind w:left="5760" w:hanging="360"/>
      </w:pPr>
      <w:rPr>
        <w:rFonts w:hint="default" w:ascii="Courier New" w:hAnsi="Courier New"/>
      </w:rPr>
    </w:lvl>
    <w:lvl w:ilvl="8" w:tplc="3190A6B6">
      <w:start w:val="1"/>
      <w:numFmt w:val="bullet"/>
      <w:lvlText w:val=""/>
      <w:lvlJc w:val="left"/>
      <w:pPr>
        <w:ind w:left="6480" w:hanging="360"/>
      </w:pPr>
      <w:rPr>
        <w:rFonts w:hint="default" w:ascii="Wingdings" w:hAnsi="Wingdings"/>
      </w:rPr>
    </w:lvl>
  </w:abstractNum>
  <w:abstractNum w:abstractNumId="17" w15:restartNumberingAfterBreak="0">
    <w:nsid w:val="6C5178C5"/>
    <w:multiLevelType w:val="hybridMultilevel"/>
    <w:tmpl w:val="21C4B3CC"/>
    <w:lvl w:ilvl="0" w:tplc="3FB0D836">
      <w:start w:val="1"/>
      <w:numFmt w:val="bullet"/>
      <w:lvlText w:val=""/>
      <w:lvlJc w:val="left"/>
      <w:pPr>
        <w:ind w:left="720" w:hanging="360"/>
      </w:pPr>
      <w:rPr>
        <w:rFonts w:hint="default" w:ascii="Symbol" w:hAnsi="Symbol"/>
      </w:rPr>
    </w:lvl>
    <w:lvl w:ilvl="1" w:tplc="345E472C">
      <w:start w:val="1"/>
      <w:numFmt w:val="bullet"/>
      <w:lvlText w:val="o"/>
      <w:lvlJc w:val="left"/>
      <w:pPr>
        <w:ind w:left="1440" w:hanging="360"/>
      </w:pPr>
      <w:rPr>
        <w:rFonts w:hint="default" w:ascii="Courier New" w:hAnsi="Courier New"/>
      </w:rPr>
    </w:lvl>
    <w:lvl w:ilvl="2" w:tplc="CED2EAB4">
      <w:start w:val="1"/>
      <w:numFmt w:val="bullet"/>
      <w:lvlText w:val=""/>
      <w:lvlJc w:val="left"/>
      <w:pPr>
        <w:ind w:left="2160" w:hanging="360"/>
      </w:pPr>
      <w:rPr>
        <w:rFonts w:hint="default" w:ascii="Wingdings" w:hAnsi="Wingdings"/>
      </w:rPr>
    </w:lvl>
    <w:lvl w:ilvl="3" w:tplc="A7AAACEE">
      <w:start w:val="1"/>
      <w:numFmt w:val="bullet"/>
      <w:lvlText w:val=""/>
      <w:lvlJc w:val="left"/>
      <w:pPr>
        <w:ind w:left="2880" w:hanging="360"/>
      </w:pPr>
      <w:rPr>
        <w:rFonts w:hint="default" w:ascii="Symbol" w:hAnsi="Symbol"/>
      </w:rPr>
    </w:lvl>
    <w:lvl w:ilvl="4" w:tplc="950ED0F0">
      <w:start w:val="1"/>
      <w:numFmt w:val="bullet"/>
      <w:lvlText w:val="o"/>
      <w:lvlJc w:val="left"/>
      <w:pPr>
        <w:ind w:left="3600" w:hanging="360"/>
      </w:pPr>
      <w:rPr>
        <w:rFonts w:hint="default" w:ascii="Courier New" w:hAnsi="Courier New"/>
      </w:rPr>
    </w:lvl>
    <w:lvl w:ilvl="5" w:tplc="01823C86">
      <w:start w:val="1"/>
      <w:numFmt w:val="bullet"/>
      <w:lvlText w:val=""/>
      <w:lvlJc w:val="left"/>
      <w:pPr>
        <w:ind w:left="4320" w:hanging="360"/>
      </w:pPr>
      <w:rPr>
        <w:rFonts w:hint="default" w:ascii="Wingdings" w:hAnsi="Wingdings"/>
      </w:rPr>
    </w:lvl>
    <w:lvl w:ilvl="6" w:tplc="67E8B060">
      <w:start w:val="1"/>
      <w:numFmt w:val="bullet"/>
      <w:lvlText w:val=""/>
      <w:lvlJc w:val="left"/>
      <w:pPr>
        <w:ind w:left="5040" w:hanging="360"/>
      </w:pPr>
      <w:rPr>
        <w:rFonts w:hint="default" w:ascii="Symbol" w:hAnsi="Symbol"/>
      </w:rPr>
    </w:lvl>
    <w:lvl w:ilvl="7" w:tplc="CAFA7760">
      <w:start w:val="1"/>
      <w:numFmt w:val="bullet"/>
      <w:lvlText w:val="o"/>
      <w:lvlJc w:val="left"/>
      <w:pPr>
        <w:ind w:left="5760" w:hanging="360"/>
      </w:pPr>
      <w:rPr>
        <w:rFonts w:hint="default" w:ascii="Courier New" w:hAnsi="Courier New"/>
      </w:rPr>
    </w:lvl>
    <w:lvl w:ilvl="8" w:tplc="F9BC6D74">
      <w:start w:val="1"/>
      <w:numFmt w:val="bullet"/>
      <w:lvlText w:val=""/>
      <w:lvlJc w:val="left"/>
      <w:pPr>
        <w:ind w:left="6480" w:hanging="360"/>
      </w:pPr>
      <w:rPr>
        <w:rFonts w:hint="default" w:ascii="Wingdings" w:hAnsi="Wingdings"/>
      </w:rPr>
    </w:lvl>
  </w:abstractNum>
  <w:abstractNum w:abstractNumId="18" w15:restartNumberingAfterBreak="0">
    <w:nsid w:val="6F3D41ED"/>
    <w:multiLevelType w:val="hybridMultilevel"/>
    <w:tmpl w:val="191A3A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0A55DA1"/>
    <w:multiLevelType w:val="hybridMultilevel"/>
    <w:tmpl w:val="863C3C92"/>
    <w:lvl w:ilvl="0" w:tplc="1A00CCB2">
      <w:start w:val="1"/>
      <w:numFmt w:val="decimal"/>
      <w:lvlText w:val="%1."/>
      <w:lvlJc w:val="left"/>
      <w:pPr>
        <w:ind w:left="720" w:hanging="360"/>
      </w:pPr>
    </w:lvl>
    <w:lvl w:ilvl="1" w:tplc="6FF479FC">
      <w:start w:val="1"/>
      <w:numFmt w:val="lowerLetter"/>
      <w:lvlText w:val="%2."/>
      <w:lvlJc w:val="left"/>
      <w:pPr>
        <w:ind w:left="1440" w:hanging="360"/>
      </w:pPr>
    </w:lvl>
    <w:lvl w:ilvl="2" w:tplc="1CE2695A">
      <w:start w:val="1"/>
      <w:numFmt w:val="lowerRoman"/>
      <w:lvlText w:val="%3."/>
      <w:lvlJc w:val="right"/>
      <w:pPr>
        <w:ind w:left="2160" w:hanging="180"/>
      </w:pPr>
    </w:lvl>
    <w:lvl w:ilvl="3" w:tplc="410A86BE">
      <w:start w:val="1"/>
      <w:numFmt w:val="decimal"/>
      <w:lvlText w:val="%4."/>
      <w:lvlJc w:val="left"/>
      <w:pPr>
        <w:ind w:left="2880" w:hanging="360"/>
      </w:pPr>
    </w:lvl>
    <w:lvl w:ilvl="4" w:tplc="CB341AF4">
      <w:start w:val="1"/>
      <w:numFmt w:val="lowerLetter"/>
      <w:lvlText w:val="%5."/>
      <w:lvlJc w:val="left"/>
      <w:pPr>
        <w:ind w:left="3600" w:hanging="360"/>
      </w:pPr>
    </w:lvl>
    <w:lvl w:ilvl="5" w:tplc="7F22BF62">
      <w:start w:val="1"/>
      <w:numFmt w:val="lowerRoman"/>
      <w:lvlText w:val="%6."/>
      <w:lvlJc w:val="right"/>
      <w:pPr>
        <w:ind w:left="4320" w:hanging="180"/>
      </w:pPr>
    </w:lvl>
    <w:lvl w:ilvl="6" w:tplc="96B6717C">
      <w:start w:val="1"/>
      <w:numFmt w:val="decimal"/>
      <w:lvlText w:val="%7."/>
      <w:lvlJc w:val="left"/>
      <w:pPr>
        <w:ind w:left="5040" w:hanging="360"/>
      </w:pPr>
    </w:lvl>
    <w:lvl w:ilvl="7" w:tplc="24380360">
      <w:start w:val="1"/>
      <w:numFmt w:val="lowerLetter"/>
      <w:lvlText w:val="%8."/>
      <w:lvlJc w:val="left"/>
      <w:pPr>
        <w:ind w:left="5760" w:hanging="360"/>
      </w:pPr>
    </w:lvl>
    <w:lvl w:ilvl="8" w:tplc="DB002CA8">
      <w:start w:val="1"/>
      <w:numFmt w:val="lowerRoman"/>
      <w:lvlText w:val="%9."/>
      <w:lvlJc w:val="right"/>
      <w:pPr>
        <w:ind w:left="6480" w:hanging="180"/>
      </w:pPr>
    </w:lvl>
  </w:abstractNum>
  <w:abstractNum w:abstractNumId="20" w15:restartNumberingAfterBreak="0">
    <w:nsid w:val="73E29BBE"/>
    <w:multiLevelType w:val="hybridMultilevel"/>
    <w:tmpl w:val="854879A2"/>
    <w:lvl w:ilvl="0" w:tplc="C6E02936">
      <w:start w:val="1"/>
      <w:numFmt w:val="bullet"/>
      <w:lvlText w:val=""/>
      <w:lvlJc w:val="left"/>
      <w:pPr>
        <w:ind w:left="720" w:hanging="360"/>
      </w:pPr>
      <w:rPr>
        <w:rFonts w:hint="default" w:ascii="Symbol" w:hAnsi="Symbol"/>
      </w:rPr>
    </w:lvl>
    <w:lvl w:ilvl="1" w:tplc="71426552">
      <w:start w:val="1"/>
      <w:numFmt w:val="bullet"/>
      <w:lvlText w:val="o"/>
      <w:lvlJc w:val="left"/>
      <w:pPr>
        <w:ind w:left="1440" w:hanging="360"/>
      </w:pPr>
      <w:rPr>
        <w:rFonts w:hint="default" w:ascii="Courier New" w:hAnsi="Courier New"/>
      </w:rPr>
    </w:lvl>
    <w:lvl w:ilvl="2" w:tplc="6A0EFD14">
      <w:start w:val="1"/>
      <w:numFmt w:val="bullet"/>
      <w:lvlText w:val=""/>
      <w:lvlJc w:val="left"/>
      <w:pPr>
        <w:ind w:left="2160" w:hanging="360"/>
      </w:pPr>
      <w:rPr>
        <w:rFonts w:hint="default" w:ascii="Wingdings" w:hAnsi="Wingdings"/>
      </w:rPr>
    </w:lvl>
    <w:lvl w:ilvl="3" w:tplc="89363E44">
      <w:start w:val="1"/>
      <w:numFmt w:val="bullet"/>
      <w:lvlText w:val=""/>
      <w:lvlJc w:val="left"/>
      <w:pPr>
        <w:ind w:left="2880" w:hanging="360"/>
      </w:pPr>
      <w:rPr>
        <w:rFonts w:hint="default" w:ascii="Symbol" w:hAnsi="Symbol"/>
      </w:rPr>
    </w:lvl>
    <w:lvl w:ilvl="4" w:tplc="16B6B19E">
      <w:start w:val="1"/>
      <w:numFmt w:val="bullet"/>
      <w:lvlText w:val="o"/>
      <w:lvlJc w:val="left"/>
      <w:pPr>
        <w:ind w:left="3600" w:hanging="360"/>
      </w:pPr>
      <w:rPr>
        <w:rFonts w:hint="default" w:ascii="Courier New" w:hAnsi="Courier New"/>
      </w:rPr>
    </w:lvl>
    <w:lvl w:ilvl="5" w:tplc="A3C68B18">
      <w:start w:val="1"/>
      <w:numFmt w:val="bullet"/>
      <w:lvlText w:val=""/>
      <w:lvlJc w:val="left"/>
      <w:pPr>
        <w:ind w:left="4320" w:hanging="360"/>
      </w:pPr>
      <w:rPr>
        <w:rFonts w:hint="default" w:ascii="Wingdings" w:hAnsi="Wingdings"/>
      </w:rPr>
    </w:lvl>
    <w:lvl w:ilvl="6" w:tplc="A30CA5EE">
      <w:start w:val="1"/>
      <w:numFmt w:val="bullet"/>
      <w:lvlText w:val=""/>
      <w:lvlJc w:val="left"/>
      <w:pPr>
        <w:ind w:left="5040" w:hanging="360"/>
      </w:pPr>
      <w:rPr>
        <w:rFonts w:hint="default" w:ascii="Symbol" w:hAnsi="Symbol"/>
      </w:rPr>
    </w:lvl>
    <w:lvl w:ilvl="7" w:tplc="2AEC19A0">
      <w:start w:val="1"/>
      <w:numFmt w:val="bullet"/>
      <w:lvlText w:val="o"/>
      <w:lvlJc w:val="left"/>
      <w:pPr>
        <w:ind w:left="5760" w:hanging="360"/>
      </w:pPr>
      <w:rPr>
        <w:rFonts w:hint="default" w:ascii="Courier New" w:hAnsi="Courier New"/>
      </w:rPr>
    </w:lvl>
    <w:lvl w:ilvl="8" w:tplc="80F224D4">
      <w:start w:val="1"/>
      <w:numFmt w:val="bullet"/>
      <w:lvlText w:val=""/>
      <w:lvlJc w:val="left"/>
      <w:pPr>
        <w:ind w:left="648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837107519">
    <w:abstractNumId w:val="16"/>
  </w:num>
  <w:num w:numId="2" w16cid:durableId="789856076">
    <w:abstractNumId w:val="20"/>
  </w:num>
  <w:num w:numId="3" w16cid:durableId="1002898520">
    <w:abstractNumId w:val="13"/>
  </w:num>
  <w:num w:numId="4" w16cid:durableId="113446987">
    <w:abstractNumId w:val="15"/>
  </w:num>
  <w:num w:numId="5" w16cid:durableId="710767718">
    <w:abstractNumId w:val="11"/>
  </w:num>
  <w:num w:numId="6" w16cid:durableId="1393045284">
    <w:abstractNumId w:val="0"/>
  </w:num>
  <w:num w:numId="7" w16cid:durableId="1556509183">
    <w:abstractNumId w:val="1"/>
  </w:num>
  <w:num w:numId="8" w16cid:durableId="349962556">
    <w:abstractNumId w:val="5"/>
  </w:num>
  <w:num w:numId="9" w16cid:durableId="753866293">
    <w:abstractNumId w:val="17"/>
  </w:num>
  <w:num w:numId="10" w16cid:durableId="198008189">
    <w:abstractNumId w:val="8"/>
  </w:num>
  <w:num w:numId="11" w16cid:durableId="1437289252">
    <w:abstractNumId w:val="7"/>
  </w:num>
  <w:num w:numId="12" w16cid:durableId="1041127001">
    <w:abstractNumId w:val="10"/>
  </w:num>
  <w:num w:numId="13" w16cid:durableId="796608707">
    <w:abstractNumId w:val="12"/>
  </w:num>
  <w:num w:numId="14" w16cid:durableId="1349062070">
    <w:abstractNumId w:val="6"/>
  </w:num>
  <w:num w:numId="15" w16cid:durableId="120349159">
    <w:abstractNumId w:val="14"/>
  </w:num>
  <w:num w:numId="16" w16cid:durableId="190651133">
    <w:abstractNumId w:val="19"/>
  </w:num>
  <w:num w:numId="17" w16cid:durableId="1733576583">
    <w:abstractNumId w:val="9"/>
  </w:num>
  <w:num w:numId="18" w16cid:durableId="367030886">
    <w:abstractNumId w:val="3"/>
  </w:num>
  <w:num w:numId="19" w16cid:durableId="1748918584">
    <w:abstractNumId w:val="18"/>
  </w:num>
  <w:num w:numId="20" w16cid:durableId="118685996">
    <w:abstractNumId w:val="4"/>
  </w:num>
  <w:num w:numId="21" w16cid:durableId="35278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A1"/>
    <w:rsid w:val="00194BCB"/>
    <w:rsid w:val="003B6D1F"/>
    <w:rsid w:val="00556A1C"/>
    <w:rsid w:val="00566BA1"/>
    <w:rsid w:val="00583536"/>
    <w:rsid w:val="00673D71"/>
    <w:rsid w:val="00855D82"/>
    <w:rsid w:val="0093155E"/>
    <w:rsid w:val="009C53CE"/>
    <w:rsid w:val="00A56B5D"/>
    <w:rsid w:val="00A769B6"/>
    <w:rsid w:val="00AA1998"/>
    <w:rsid w:val="00AE7880"/>
    <w:rsid w:val="00B00AB3"/>
    <w:rsid w:val="00B7339E"/>
    <w:rsid w:val="00BC24A6"/>
    <w:rsid w:val="00C54B54"/>
    <w:rsid w:val="00C701EE"/>
    <w:rsid w:val="00DD414A"/>
    <w:rsid w:val="010FBCF5"/>
    <w:rsid w:val="0415EF08"/>
    <w:rsid w:val="044FC72A"/>
    <w:rsid w:val="049876A1"/>
    <w:rsid w:val="04F6D0FD"/>
    <w:rsid w:val="057627AC"/>
    <w:rsid w:val="067F2394"/>
    <w:rsid w:val="06D761E6"/>
    <w:rsid w:val="076F3E19"/>
    <w:rsid w:val="0A377BDE"/>
    <w:rsid w:val="0BDC0EC1"/>
    <w:rsid w:val="104B81AD"/>
    <w:rsid w:val="11828FB6"/>
    <w:rsid w:val="1B220D5D"/>
    <w:rsid w:val="1ED11094"/>
    <w:rsid w:val="20989193"/>
    <w:rsid w:val="20DDAA0B"/>
    <w:rsid w:val="241C2B08"/>
    <w:rsid w:val="242DE405"/>
    <w:rsid w:val="262113B9"/>
    <w:rsid w:val="26EE40BD"/>
    <w:rsid w:val="2747E4CB"/>
    <w:rsid w:val="2A081628"/>
    <w:rsid w:val="2A1848FE"/>
    <w:rsid w:val="2A1F50C8"/>
    <w:rsid w:val="2AAF65E0"/>
    <w:rsid w:val="30BA6CFC"/>
    <w:rsid w:val="323BD134"/>
    <w:rsid w:val="3368A516"/>
    <w:rsid w:val="387BBDC7"/>
    <w:rsid w:val="40B8F1D1"/>
    <w:rsid w:val="40F222F4"/>
    <w:rsid w:val="459FA553"/>
    <w:rsid w:val="45BA8175"/>
    <w:rsid w:val="46C58825"/>
    <w:rsid w:val="4BE1B490"/>
    <w:rsid w:val="4D51CF1A"/>
    <w:rsid w:val="4FE4A2F7"/>
    <w:rsid w:val="5050D12C"/>
    <w:rsid w:val="520AD1F3"/>
    <w:rsid w:val="538B31A6"/>
    <w:rsid w:val="55B3FD91"/>
    <w:rsid w:val="564038EA"/>
    <w:rsid w:val="58423AD9"/>
    <w:rsid w:val="585ADF95"/>
    <w:rsid w:val="58646CF2"/>
    <w:rsid w:val="5B53DFFE"/>
    <w:rsid w:val="5C0C8E41"/>
    <w:rsid w:val="5C9E36C2"/>
    <w:rsid w:val="5D1861ED"/>
    <w:rsid w:val="5E91C255"/>
    <w:rsid w:val="5F8BEBD0"/>
    <w:rsid w:val="614421BD"/>
    <w:rsid w:val="692028EE"/>
    <w:rsid w:val="69732862"/>
    <w:rsid w:val="699FBF2F"/>
    <w:rsid w:val="6BACF779"/>
    <w:rsid w:val="6CD46B79"/>
    <w:rsid w:val="6D6D3B76"/>
    <w:rsid w:val="6E96F0FB"/>
    <w:rsid w:val="705D0342"/>
    <w:rsid w:val="7379B1B9"/>
    <w:rsid w:val="7512AE79"/>
    <w:rsid w:val="759F1233"/>
    <w:rsid w:val="759F1233"/>
    <w:rsid w:val="78B2570B"/>
    <w:rsid w:val="7A8191B1"/>
    <w:rsid w:val="7BC74DB2"/>
    <w:rsid w:val="7CA6F9CE"/>
    <w:rsid w:val="7D04D57F"/>
    <w:rsid w:val="7E42B7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7935"/>
  <w15:docId w15:val="{480B0767-E855-A740-9C41-E132213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4943"/>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0B1B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52BC2"/>
    <w:pPr>
      <w:ind w:left="720"/>
      <w:contextualSpacing/>
    </w:pPr>
  </w:style>
  <w:style w:type="table" w:styleId="TableGrid">
    <w:name w:val="Table Grid"/>
    <w:basedOn w:val="TableNormal"/>
    <w:uiPriority w:val="39"/>
    <w:rsid w:val="00252B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609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093D"/>
  </w:style>
  <w:style w:type="paragraph" w:styleId="Footer">
    <w:name w:val="footer"/>
    <w:basedOn w:val="Normal"/>
    <w:link w:val="FooterChar"/>
    <w:uiPriority w:val="99"/>
    <w:unhideWhenUsed/>
    <w:rsid w:val="00F609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093D"/>
  </w:style>
  <w:style w:type="character" w:styleId="CommentReference">
    <w:name w:val="annotation reference"/>
    <w:basedOn w:val="DefaultParagraphFont"/>
    <w:uiPriority w:val="99"/>
    <w:semiHidden/>
    <w:unhideWhenUsed/>
    <w:rsid w:val="00477A79"/>
    <w:rPr>
      <w:sz w:val="16"/>
      <w:szCs w:val="16"/>
    </w:rPr>
  </w:style>
  <w:style w:type="paragraph" w:styleId="CommentText">
    <w:name w:val="annotation text"/>
    <w:basedOn w:val="Normal"/>
    <w:link w:val="CommentTextChar"/>
    <w:uiPriority w:val="99"/>
    <w:unhideWhenUsed/>
    <w:rsid w:val="00477A79"/>
    <w:pPr>
      <w:spacing w:line="240" w:lineRule="auto"/>
    </w:pPr>
    <w:rPr>
      <w:sz w:val="20"/>
      <w:szCs w:val="20"/>
    </w:rPr>
  </w:style>
  <w:style w:type="character" w:styleId="CommentTextChar" w:customStyle="1">
    <w:name w:val="Comment Text Char"/>
    <w:basedOn w:val="DefaultParagraphFont"/>
    <w:link w:val="CommentText"/>
    <w:uiPriority w:val="99"/>
    <w:rsid w:val="00477A79"/>
    <w:rPr>
      <w:sz w:val="20"/>
      <w:szCs w:val="20"/>
    </w:rPr>
  </w:style>
  <w:style w:type="paragraph" w:styleId="CommentSubject">
    <w:name w:val="annotation subject"/>
    <w:basedOn w:val="CommentText"/>
    <w:next w:val="CommentText"/>
    <w:link w:val="CommentSubjectChar"/>
    <w:uiPriority w:val="99"/>
    <w:semiHidden/>
    <w:unhideWhenUsed/>
    <w:rsid w:val="00477A79"/>
    <w:rPr>
      <w:b/>
      <w:bCs/>
    </w:rPr>
  </w:style>
  <w:style w:type="character" w:styleId="CommentSubjectChar" w:customStyle="1">
    <w:name w:val="Comment Subject Char"/>
    <w:basedOn w:val="CommentTextChar"/>
    <w:link w:val="CommentSubject"/>
    <w:uiPriority w:val="99"/>
    <w:semiHidden/>
    <w:rsid w:val="00477A79"/>
    <w:rPr>
      <w:b/>
      <w:bCs/>
      <w:sz w:val="20"/>
      <w:szCs w:val="20"/>
    </w:rPr>
  </w:style>
  <w:style w:type="character" w:styleId="Hyperlink">
    <w:name w:val="Hyperlink"/>
    <w:basedOn w:val="DefaultParagraphFont"/>
    <w:uiPriority w:val="99"/>
    <w:unhideWhenUsed/>
    <w:rsid w:val="008B1713"/>
    <w:rPr>
      <w:color w:val="0563C1" w:themeColor="hyperlink"/>
      <w:u w:val="single"/>
    </w:rPr>
  </w:style>
  <w:style w:type="character" w:styleId="UnresolvedMention">
    <w:name w:val="Unresolved Mention"/>
    <w:basedOn w:val="DefaultParagraphFont"/>
    <w:uiPriority w:val="99"/>
    <w:semiHidden/>
    <w:unhideWhenUsed/>
    <w:rsid w:val="008B1713"/>
    <w:rPr>
      <w:color w:val="605E5C"/>
      <w:shd w:val="clear" w:color="auto" w:fill="E1DFDD"/>
    </w:rPr>
  </w:style>
  <w:style w:type="table" w:styleId="PlainTable2">
    <w:name w:val="Plain Table 2"/>
    <w:basedOn w:val="TableNormal"/>
    <w:uiPriority w:val="42"/>
    <w:rsid w:val="006358BB"/>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Revision">
    <w:name w:val="Revision"/>
    <w:hidden/>
    <w:uiPriority w:val="99"/>
    <w:semiHidden/>
    <w:rsid w:val="00473F41"/>
    <w:pPr>
      <w:spacing w:after="0" w:line="240" w:lineRule="auto"/>
    </w:pPr>
  </w:style>
  <w:style w:type="character" w:styleId="Mention">
    <w:name w:val="Mention"/>
    <w:basedOn w:val="DefaultParagraphFont"/>
    <w:uiPriority w:val="99"/>
    <w:unhideWhenUsed/>
    <w:rsid w:val="00433401"/>
    <w:rPr>
      <w:color w:val="2B579A"/>
      <w:shd w:val="clear" w:color="auto" w:fill="E6E6E6"/>
    </w:rPr>
  </w:style>
  <w:style w:type="character" w:styleId="Heading5Char" w:customStyle="1">
    <w:name w:val="Heading 5 Char"/>
    <w:basedOn w:val="DefaultParagraphFont"/>
    <w:link w:val="Heading5"/>
    <w:uiPriority w:val="9"/>
    <w:semiHidden/>
    <w:rsid w:val="000B1B7C"/>
    <w:rPr>
      <w:rFonts w:eastAsiaTheme="majorEastAsia" w:cstheme="majorBidi"/>
      <w:color w:val="2F5496" w:themeColor="accent1" w:themeShade="BF"/>
    </w:rPr>
  </w:style>
  <w:style w:type="character" w:styleId="PageNumber">
    <w:name w:val="page number"/>
    <w:basedOn w:val="DefaultParagraphFont"/>
    <w:uiPriority w:val="99"/>
    <w:semiHidden/>
    <w:unhideWhenUsed/>
    <w:rsid w:val="000F0195"/>
  </w:style>
  <w:style w:type="table" w:styleId="TableGridLight">
    <w:name w:val="Grid Table Light"/>
    <w:basedOn w:val="TableNormal"/>
    <w:uiPriority w:val="40"/>
    <w:rsid w:val="00907A3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character" w:styleId="Heading1Char" w:customStyle="1">
    <w:name w:val="Heading 1 Char"/>
    <w:basedOn w:val="DefaultParagraphFont"/>
    <w:link w:val="Heading1"/>
    <w:uiPriority w:val="9"/>
    <w:rsid w:val="0415EF08"/>
    <w:rPr>
      <w:rFonts w:asciiTheme="majorHAnsi" w:hAnsiTheme="majorHAnsi" w:eastAsiaTheme="minorEastAsia" w:cstheme="majorEastAsia"/>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0963">
      <w:bodyDiv w:val="1"/>
      <w:marLeft w:val="0"/>
      <w:marRight w:val="0"/>
      <w:marTop w:val="0"/>
      <w:marBottom w:val="0"/>
      <w:divBdr>
        <w:top w:val="none" w:sz="0" w:space="0" w:color="auto"/>
        <w:left w:val="none" w:sz="0" w:space="0" w:color="auto"/>
        <w:bottom w:val="none" w:sz="0" w:space="0" w:color="auto"/>
        <w:right w:val="none" w:sz="0" w:space="0" w:color="auto"/>
      </w:divBdr>
    </w:div>
    <w:div w:id="211054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phminitiative.com/resource/clinical-guidelines/" TargetMode="External" Id="R80b9966d9abb438f" /><Relationship Type="http://schemas.openxmlformats.org/officeDocument/2006/relationships/hyperlink" Target="https://downloads.aap.org/AAP/PDF/periodicity_schedule.pdf?_ga=2.215623191.1803532441.1662651728-379008272.1662651728" TargetMode="External" Id="R137162bcd060494f" /><Relationship Type="http://schemas.openxmlformats.org/officeDocument/2006/relationships/hyperlink" Target="https://downloads.aap.org/AAP/PDF/periodicity_schedule.pdf?_ga=2.215623191.1803532441.1662651728-379008272.1662651728" TargetMode="External" Id="Rbd4a0f9c87ee43bd" /><Relationship Type="http://schemas.openxmlformats.org/officeDocument/2006/relationships/hyperlink" Target="https://phminitiative.com/resource/clinical-guidelines/" TargetMode="External" Id="R14f5631a083e4bb3" /><Relationship Type="http://schemas.openxmlformats.org/officeDocument/2006/relationships/hyperlink" Target="https://www.cdc.gov/vaccines/hcp/imz-schedules/child-adolescent-age.html?CDC_AAref_Val=https://www.cdc.gov/vaccines/schedules/hcp/imz/child-adolescent.html" TargetMode="External" Id="R2cd6287518bf49ed" /><Relationship Type="http://schemas.openxmlformats.org/officeDocument/2006/relationships/hyperlink" Target="https://www.acog.org/clinical/clinical-guidance/committee-opinion/articles/2018/05/optimizing-postpartum-care" TargetMode="External" Id="R42e0c523ba2d4633" /><Relationship Type="http://schemas.openxmlformats.org/officeDocument/2006/relationships/hyperlink" Target="https://www.acog.org/programs/perinatal-mental-health/implementing-perinatal-mental-health-screening" TargetMode="External" Id="R4a4810cbb2b941d2" /><Relationship Type="http://schemas.openxmlformats.org/officeDocument/2006/relationships/hyperlink" Target="https://www.uspreventiveservicestaskforce.org/uspstf/recommendation/breast-cancer-screening" TargetMode="External" Id="Rd2e1b08953a04a4a" /><Relationship Type="http://schemas.openxmlformats.org/officeDocument/2006/relationships/hyperlink" Target="https://www.jacr.org/article/S1546-1440(17)31524-7/fulltext" TargetMode="External" Id="R084f09f172d1412d" /><Relationship Type="http://schemas.openxmlformats.org/officeDocument/2006/relationships/hyperlink" Target="https://www.uspreventiveservicestaskforce.org/uspstf/recommendation/cervical-cancer-screening" TargetMode="External" Id="R274637a7af6a45ed" /><Relationship Type="http://schemas.openxmlformats.org/officeDocument/2006/relationships/hyperlink" Target="https://www.uspreventiveservicestaskforce.org/uspstf/recommendation/depression-in-adults-screening" TargetMode="External" Id="R3bd265785ff54196" /><Relationship Type="http://schemas.openxmlformats.org/officeDocument/2006/relationships/hyperlink" Target="https://www.uspreventiveservicestaskforce.org/uspstf/recommendation/screening-for-prediabetes-and-type-2-diabetes" TargetMode="External" Id="R909b552e459346d3" /><Relationship Type="http://schemas.openxmlformats.org/officeDocument/2006/relationships/hyperlink" Target="https://diabetesjournals.org/care/issue/46/Supplement_1" TargetMode="External" Id="R2bd1bdc17d5e4974" /><Relationship Type="http://schemas.openxmlformats.org/officeDocument/2006/relationships/hyperlink" Target="https://www.uspreventiveservicestaskforce.org/uspstf/recommendation/depression-in-adults-screening" TargetMode="External" Id="Rbc4d2fdc33d24af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23c5b6-e95b-426e-b8c4-e080bfd3def7">
      <Terms xmlns="http://schemas.microsoft.com/office/infopath/2007/PartnerControls"/>
    </lcf76f155ced4ddcb4097134ff3c332f>
    <TaxCatchAll xmlns="cb4698ab-05d7-43cd-a1ea-68617d22cd0a"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IsZ++Y0tmd6mOXNcUNuYk4szA==">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FFA5AE673C57148B89A6E4541740596" ma:contentTypeVersion="16" ma:contentTypeDescription="Create a new document." ma:contentTypeScope="" ma:versionID="0c0b3839e6531165fa873d573812faa1">
  <xsd:schema xmlns:xsd="http://www.w3.org/2001/XMLSchema" xmlns:xs="http://www.w3.org/2001/XMLSchema" xmlns:p="http://schemas.microsoft.com/office/2006/metadata/properties" xmlns:ns2="cb4698ab-05d7-43cd-a1ea-68617d22cd0a" xmlns:ns3="4823c5b6-e95b-426e-b8c4-e080bfd3def7" targetNamespace="http://schemas.microsoft.com/office/2006/metadata/properties" ma:root="true" ma:fieldsID="d55743eb6ebd2ef0b1208eef8ca4bab9" ns2:_="" ns3:_="">
    <xsd:import namespace="cb4698ab-05d7-43cd-a1ea-68617d22cd0a"/>
    <xsd:import namespace="4823c5b6-e95b-426e-b8c4-e080bfd3de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98ab-05d7-43cd-a1ea-68617d22c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ddc982-bc91-4485-acfd-23171be358e0}" ma:internalName="TaxCatchAll" ma:showField="CatchAllData" ma:web="cb4698ab-05d7-43cd-a1ea-68617d22c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23c5b6-e95b-426e-b8c4-e080bfd3de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513810-8253-45b2-b3c1-6fab3434a6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10C87-C72E-46AC-88FF-1BDCAF51A173}">
  <ds:schemaRefs>
    <ds:schemaRef ds:uri="http://schemas.microsoft.com/sharepoint/v3/contenttype/forms"/>
  </ds:schemaRefs>
</ds:datastoreItem>
</file>

<file path=customXml/itemProps2.xml><?xml version="1.0" encoding="utf-8"?>
<ds:datastoreItem xmlns:ds="http://schemas.openxmlformats.org/officeDocument/2006/customXml" ds:itemID="{3DEBE15B-6A72-4607-87E6-25C7C4F72BEC}">
  <ds:schemaRefs>
    <ds:schemaRef ds:uri="http://schemas.microsoft.com/office/2006/metadata/properties"/>
    <ds:schemaRef ds:uri="http://schemas.microsoft.com/office/infopath/2007/PartnerControls"/>
    <ds:schemaRef ds:uri="4823c5b6-e95b-426e-b8c4-e080bfd3def7"/>
    <ds:schemaRef ds:uri="cb4698ab-05d7-43cd-a1ea-68617d22cd0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4E2F6CF-6845-4C61-9FC9-E888A21F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698ab-05d7-43cd-a1ea-68617d22cd0a"/>
    <ds:schemaRef ds:uri="4823c5b6-e95b-426e-b8c4-e080bfd3d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Leslie Brooks</dc:creator>
  <lastModifiedBy>Mary Deane</lastModifiedBy>
  <revision>12</revision>
  <dcterms:created xsi:type="dcterms:W3CDTF">2025-03-11T03:55:00.0000000Z</dcterms:created>
  <dcterms:modified xsi:type="dcterms:W3CDTF">2025-07-11T02:28:25.5647971Z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0x0101007FFA5AE673C57148B89A6E4541740596</vt:lpwstr>
  </property>
  <property fmtid="{D5CDD505-2E9C-101B-9397-08002B2CF9AE}" pid="3" name="Order">
    <vt:lpwstr>146000</vt:lpwstr>
  </property>
  <property fmtid="{D5CDD505-2E9C-101B-9397-08002B2CF9AE}" pid="4" name="ComplianceAssetId">
    <vt:lpwstr>ComplianceAssetId</vt:lpwstr>
  </property>
  <property fmtid="{D5CDD505-2E9C-101B-9397-08002B2CF9AE}" pid="5" name="_activity">
    <vt:lpwstr>{"FileActivityType":"9","FileActivityTimeStamp":"2024-03-29T19:48:25.373Z","FileActivityUsersOnPage":[{"DisplayName":"Leslie Brooks","Id":"lbrooks@pophealthlc.org"}],"FileActivityNavigationId":null}</vt:lpwstr>
  </property>
  <property fmtid="{D5CDD505-2E9C-101B-9397-08002B2CF9AE}" pid="6" name="_ExtendedDescription">
    <vt:lpwstr>_ExtendedDescription</vt:lpwstr>
  </property>
  <property fmtid="{D5CDD505-2E9C-101B-9397-08002B2CF9AE}" pid="7" name="TriggerFlowInfo">
    <vt:lpwstr>TriggerFlowInfo</vt:lpwstr>
  </property>
  <property fmtid="{D5CDD505-2E9C-101B-9397-08002B2CF9AE}" pid="8" name="MediaServiceImageTags">
    <vt:lpwstr>MediaServiceImageTags</vt:lpwstr>
  </property>
</Properties>
</file>