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95138" w:rsidR="5B985A26" w:rsidP="7A5EED20" w:rsidRDefault="5B985A26" w14:paraId="43682D88" w14:textId="4BFB3107">
      <w:pPr>
        <w:rPr>
          <w:rFonts w:ascii="Aptos" w:hAnsi="Aptos" w:eastAsiaTheme="minorEastAsia"/>
          <w:color w:val="000000" w:themeColor="text1"/>
          <w:sz w:val="24"/>
          <w:szCs w:val="24"/>
        </w:rPr>
      </w:pPr>
      <w:r w:rsidRPr="00495138">
        <w:rPr>
          <w:rFonts w:ascii="Aptos" w:hAnsi="Aptos" w:eastAsiaTheme="minorEastAsia"/>
          <w:b/>
          <w:bCs/>
          <w:color w:val="000000" w:themeColor="text1"/>
          <w:sz w:val="24"/>
          <w:szCs w:val="24"/>
        </w:rPr>
        <w:t>Instructions</w:t>
      </w:r>
    </w:p>
    <w:p w:rsidR="00CC6EB3" w:rsidP="308A1CAD" w:rsidRDefault="5B985A26" w14:paraId="564C3089" w14:textId="51CBFA00">
      <w:pPr>
        <w:rPr>
          <w:rFonts w:ascii="Aptos" w:hAnsi="Aptos" w:eastAsiaTheme="minorEastAsia"/>
          <w:color w:val="000000" w:themeColor="text1"/>
          <w:sz w:val="24"/>
          <w:szCs w:val="24"/>
        </w:rPr>
      </w:pPr>
      <w:r w:rsidRPr="07EA80C5">
        <w:rPr>
          <w:rFonts w:ascii="Aptos" w:hAnsi="Aptos" w:eastAsiaTheme="minorEastAsia"/>
          <w:color w:val="000000" w:themeColor="text1"/>
          <w:sz w:val="24"/>
          <w:szCs w:val="24"/>
        </w:rPr>
        <w:t xml:space="preserve">Using the </w:t>
      </w:r>
      <w:hyperlink r:id="rId10">
        <w:r w:rsidRPr="07EA80C5">
          <w:rPr>
            <w:rStyle w:val="Hyperlink"/>
            <w:rFonts w:ascii="Aptos" w:hAnsi="Aptos" w:eastAsiaTheme="minorEastAsia"/>
            <w:sz w:val="24"/>
            <w:szCs w:val="24"/>
          </w:rPr>
          <w:t>EPT deliverable portal</w:t>
        </w:r>
      </w:hyperlink>
      <w:r w:rsidRPr="07EA80C5">
        <w:rPr>
          <w:rFonts w:ascii="Aptos" w:hAnsi="Aptos" w:eastAsiaTheme="minorEastAsia"/>
          <w:color w:val="000000" w:themeColor="text1"/>
          <w:sz w:val="24"/>
          <w:szCs w:val="24"/>
        </w:rPr>
        <w:t xml:space="preserve">, please </w:t>
      </w:r>
      <w:r w:rsidRPr="07EA80C5" w:rsidR="00CC6EB3">
        <w:rPr>
          <w:rFonts w:ascii="Aptos" w:hAnsi="Aptos" w:eastAsiaTheme="minorEastAsia"/>
          <w:color w:val="000000" w:themeColor="text1"/>
          <w:sz w:val="24"/>
          <w:szCs w:val="24"/>
        </w:rPr>
        <w:t xml:space="preserve">complete the prompts for all questions in </w:t>
      </w:r>
      <w:r w:rsidRPr="07EA80C5" w:rsidR="7BF556D8">
        <w:rPr>
          <w:rFonts w:ascii="Aptos" w:hAnsi="Aptos" w:eastAsiaTheme="minorEastAsia"/>
          <w:color w:val="000000" w:themeColor="text1"/>
          <w:sz w:val="24"/>
          <w:szCs w:val="24"/>
        </w:rPr>
        <w:t xml:space="preserve">the associated </w:t>
      </w:r>
      <w:r w:rsidRPr="07EA80C5" w:rsidR="7F2A92F9">
        <w:rPr>
          <w:rFonts w:ascii="Aptos" w:hAnsi="Aptos" w:eastAsiaTheme="minorEastAsia"/>
          <w:color w:val="000000" w:themeColor="text1"/>
          <w:sz w:val="24"/>
          <w:szCs w:val="24"/>
        </w:rPr>
        <w:t>deliverable</w:t>
      </w:r>
      <w:r w:rsidRPr="07EA80C5" w:rsidR="00CC6EB3">
        <w:rPr>
          <w:rFonts w:ascii="Aptos" w:hAnsi="Aptos" w:eastAsiaTheme="minorEastAsia"/>
          <w:color w:val="000000" w:themeColor="text1"/>
          <w:sz w:val="24"/>
          <w:szCs w:val="24"/>
        </w:rPr>
        <w:t xml:space="preserve"> template. </w:t>
      </w:r>
      <w:r w:rsidRPr="07EA80C5" w:rsidR="620D9755">
        <w:rPr>
          <w:rFonts w:ascii="Aptos" w:hAnsi="Aptos" w:eastAsia="Aptos" w:cs="Aptos"/>
          <w:color w:val="000000" w:themeColor="text1"/>
          <w:sz w:val="24"/>
          <w:szCs w:val="24"/>
        </w:rPr>
        <w:t>Please respond using complete sentences</w:t>
      </w:r>
      <w:r w:rsidRPr="07EA80C5" w:rsidR="620D9755">
        <w:rPr>
          <w:rFonts w:ascii="Aptos" w:hAnsi="Aptos" w:eastAsia="Aptos" w:cs="Aptos"/>
          <w:b/>
          <w:bCs/>
          <w:color w:val="000000" w:themeColor="text1"/>
          <w:sz w:val="24"/>
          <w:szCs w:val="24"/>
        </w:rPr>
        <w:t xml:space="preserve"> </w:t>
      </w:r>
      <w:r w:rsidRPr="07EA80C5" w:rsidR="620D9755">
        <w:rPr>
          <w:rFonts w:ascii="Aptos" w:hAnsi="Aptos" w:eastAsia="Aptos" w:cs="Aptos"/>
          <w:color w:val="000000" w:themeColor="text1"/>
          <w:sz w:val="24"/>
          <w:szCs w:val="24"/>
        </w:rPr>
        <w:t>and with enough detail that the deliverable reviewer can understand how your practice approaches this work.</w:t>
      </w:r>
      <w:r w:rsidRPr="07EA80C5" w:rsidR="0859A21E">
        <w:rPr>
          <w:rFonts w:ascii="Aptos" w:hAnsi="Aptos" w:eastAsia="Aptos" w:cs="Aptos"/>
          <w:color w:val="000000" w:themeColor="text1"/>
          <w:sz w:val="24"/>
          <w:szCs w:val="24"/>
        </w:rPr>
        <w:t xml:space="preserve"> </w:t>
      </w:r>
      <w:r w:rsidRPr="07EA80C5" w:rsidR="0859A21E">
        <w:rPr>
          <w:rFonts w:ascii="Aptos" w:hAnsi="Aptos" w:eastAsia="Aptos" w:cs="Aptos"/>
          <w:sz w:val="24"/>
          <w:szCs w:val="24"/>
        </w:rPr>
        <w:t>Reviewers will provide a single overall determination (Accepted, Not Accepted - Resubmit This Cycle, or Not Accepted - Resubmit Next Cycle) through the web portal. Practices whose deliverables are not accepted will receive general feedback in a single comment box indicating which sections need improvement.</w:t>
      </w:r>
    </w:p>
    <w:p w:rsidR="346546F8" w:rsidP="708FC2E1" w:rsidRDefault="00CC6EB3" w14:paraId="09C15B85" w14:textId="0B3B4B27">
      <w:pPr>
        <w:spacing w:beforeAutospacing="1" w:afterAutospacing="1" w:line="240" w:lineRule="auto"/>
        <w:rPr>
          <w:rFonts w:ascii="Aptos" w:hAnsi="Aptos" w:eastAsiaTheme="minorEastAsia"/>
          <w:b/>
          <w:bCs/>
          <w:sz w:val="24"/>
          <w:szCs w:val="24"/>
        </w:rPr>
      </w:pPr>
      <w:r w:rsidRPr="708FC2E1">
        <w:rPr>
          <w:rFonts w:ascii="Aptos" w:hAnsi="Aptos" w:eastAsiaTheme="minorEastAsia"/>
          <w:b/>
          <w:bCs/>
          <w:color w:val="000000" w:themeColor="text1"/>
          <w:sz w:val="24"/>
          <w:szCs w:val="24"/>
        </w:rPr>
        <w:t>EPT milestone</w:t>
      </w:r>
      <w:r w:rsidRPr="708FC2E1" w:rsidR="7976C1E2">
        <w:rPr>
          <w:rFonts w:ascii="Aptos" w:hAnsi="Aptos" w:eastAsiaTheme="minorEastAsia"/>
          <w:b/>
          <w:bCs/>
          <w:color w:val="000000" w:themeColor="text1"/>
          <w:sz w:val="24"/>
          <w:szCs w:val="24"/>
        </w:rPr>
        <w:t>:</w:t>
      </w:r>
      <w:r w:rsidRPr="708FC2E1">
        <w:rPr>
          <w:rFonts w:ascii="Aptos" w:hAnsi="Aptos" w:eastAsiaTheme="minorEastAsia"/>
          <w:b/>
          <w:bCs/>
          <w:color w:val="000000" w:themeColor="text1"/>
          <w:sz w:val="24"/>
          <w:szCs w:val="24"/>
        </w:rPr>
        <w:t xml:space="preserve"> </w:t>
      </w:r>
      <w:r w:rsidRPr="708FC2E1" w:rsidR="45486FAB">
        <w:rPr>
          <w:rFonts w:ascii="Calibri" w:hAnsi="Calibri" w:eastAsia="Calibri" w:cs="Calibri"/>
          <w:color w:val="000000" w:themeColor="text1"/>
          <w:sz w:val="24"/>
          <w:szCs w:val="24"/>
        </w:rPr>
        <w:t>Implement depression screening and follow-up using the PHQ-2/PHQ-9 and substance use disorder (SUD) screening and linkage. This should include development of workflows for what staff member screens and how often, how data is stored in the health record, protocol for triage of patients based on screening results, and, when indicated, linkage to appropriate level of behavioral health services with closed-loop referrals.</w:t>
      </w:r>
    </w:p>
    <w:p w:rsidR="00B519B2" w:rsidP="708FC2E1" w:rsidRDefault="5D6B7F1A" w14:paraId="06694330" w14:textId="5E307E17">
      <w:pPr>
        <w:pStyle w:val="Heading2"/>
        <w:rPr>
          <w:rFonts w:ascii="Aptos" w:hAnsi="Aptos" w:eastAsiaTheme="minorEastAsia"/>
          <w:b/>
          <w:bCs/>
          <w:sz w:val="24"/>
          <w:szCs w:val="24"/>
        </w:rPr>
      </w:pPr>
      <w:r w:rsidRPr="708FC2E1">
        <w:rPr>
          <w:b/>
          <w:bCs/>
        </w:rPr>
        <w:t xml:space="preserve">Question 1: </w:t>
      </w:r>
      <w:commentRangeStart w:id="0"/>
      <w:commentRangeStart w:id="1"/>
      <w:r w:rsidRPr="708FC2E1" w:rsidR="2CE7F252">
        <w:rPr>
          <w:b/>
          <w:bCs/>
        </w:rPr>
        <w:t>Baseline Data</w:t>
      </w:r>
      <w:r w:rsidRPr="708FC2E1" w:rsidR="09C5F78D">
        <w:rPr>
          <w:b/>
          <w:bCs/>
        </w:rPr>
        <w:t xml:space="preserve"> &amp; Performance Data</w:t>
      </w:r>
      <w:commentRangeEnd w:id="0"/>
      <w:r>
        <w:rPr>
          <w:rStyle w:val="CommentReference"/>
          <w:rFonts w:ascii="Aptos" w:hAnsi="Aptos" w:eastAsiaTheme="minorEastAsia"/>
          <w:b/>
          <w:bCs/>
          <w:sz w:val="24"/>
          <w:szCs w:val="24"/>
        </w:rPr>
        <w:commentReference w:id="0"/>
      </w:r>
      <w:commentRangeEnd w:id="1"/>
      <w:r>
        <w:rPr>
          <w:rStyle w:val="CommentReference"/>
        </w:rPr>
        <w:commentReference w:id="1"/>
      </w:r>
    </w:p>
    <w:p w:rsidRPr="00B519B2" w:rsidR="00B519B2" w:rsidP="708FC2E1" w:rsidRDefault="454C18C7" w14:paraId="255593F3" w14:textId="2F2374D3">
      <w:pPr>
        <w:spacing w:before="100" w:beforeAutospacing="1" w:after="100" w:afterAutospacing="1" w:line="240" w:lineRule="auto"/>
        <w:outlineLvl w:val="2"/>
        <w:rPr>
          <w:rFonts w:ascii="Aptos" w:hAnsi="Aptos" w:cs="Aptos" w:eastAsiaTheme="minorEastAsia"/>
          <w:b/>
          <w:bCs/>
          <w:color w:val="215E99" w:themeColor="text2" w:themeTint="BF"/>
          <w:sz w:val="28"/>
          <w:szCs w:val="28"/>
        </w:rPr>
      </w:pPr>
      <w:r w:rsidRPr="708FC2E1">
        <w:rPr>
          <w:rFonts w:ascii="Aptos" w:hAnsi="Aptos" w:cs="Aptos" w:eastAsiaTheme="minorEastAsia"/>
          <w:b/>
          <w:bCs/>
          <w:color w:val="215E99" w:themeColor="text2" w:themeTint="BF"/>
          <w:sz w:val="28"/>
          <w:szCs w:val="28"/>
        </w:rPr>
        <w:t>What You Need to Do</w:t>
      </w:r>
    </w:p>
    <w:p w:rsidRPr="00B519B2" w:rsidR="00B519B2" w:rsidP="76A10730" w:rsidRDefault="454C18C7" w14:paraId="3C741ED9" w14:textId="08D11955">
      <w:pPr>
        <w:pStyle w:val="Normal"/>
        <w:spacing w:before="100" w:beforeAutospacing="on" w:after="100" w:afterAutospacing="on" w:line="240" w:lineRule="auto"/>
        <w:rPr>
          <w:rFonts w:ascii="Aptos" w:hAnsi="Aptos" w:eastAsia="" w:cs="Aptos" w:eastAsiaTheme="minorEastAsia"/>
          <w:color w:val="000000" w:themeColor="text1"/>
          <w:sz w:val="24"/>
          <w:szCs w:val="24"/>
        </w:rPr>
      </w:pPr>
      <w:r w:rsidRPr="76A10730" w:rsidR="454C18C7">
        <w:rPr>
          <w:rFonts w:ascii="Aptos" w:hAnsi="Aptos" w:eastAsia="" w:cs="Aptos" w:eastAsiaTheme="minorEastAsia"/>
          <w:color w:val="000000" w:themeColor="text1" w:themeTint="FF" w:themeShade="FF"/>
          <w:sz w:val="24"/>
          <w:szCs w:val="24"/>
        </w:rPr>
        <w:t xml:space="preserve">Report </w:t>
      </w:r>
      <w:r w:rsidRPr="76A10730" w:rsidR="454C18C7">
        <w:rPr>
          <w:rFonts w:ascii="Aptos" w:hAnsi="Aptos" w:eastAsia="" w:cs="Aptos" w:eastAsiaTheme="minorEastAsia"/>
          <w:b w:val="1"/>
          <w:bCs w:val="1"/>
          <w:color w:val="000000" w:themeColor="text1" w:themeTint="FF" w:themeShade="FF"/>
          <w:sz w:val="24"/>
          <w:szCs w:val="24"/>
        </w:rPr>
        <w:t>baseline AND performance</w:t>
      </w:r>
      <w:r w:rsidRPr="76A10730" w:rsidR="692FC315">
        <w:rPr>
          <w:rFonts w:ascii="Aptos" w:hAnsi="Aptos" w:eastAsia="" w:cs="Aptos" w:eastAsiaTheme="minorEastAsia"/>
          <w:b w:val="1"/>
          <w:bCs w:val="1"/>
          <w:color w:val="000000" w:themeColor="text1" w:themeTint="FF" w:themeShade="FF"/>
          <w:sz w:val="24"/>
          <w:szCs w:val="24"/>
        </w:rPr>
        <w:t xml:space="preserve"> metrics</w:t>
      </w:r>
      <w:r w:rsidRPr="76A10730" w:rsidR="454C18C7">
        <w:rPr>
          <w:rFonts w:ascii="Aptos" w:hAnsi="Aptos" w:eastAsia="" w:cs="Aptos" w:eastAsiaTheme="minorEastAsia"/>
          <w:b w:val="1"/>
          <w:bCs w:val="1"/>
          <w:color w:val="000000" w:themeColor="text1" w:themeTint="FF" w:themeShade="FF"/>
          <w:sz w:val="24"/>
          <w:szCs w:val="24"/>
        </w:rPr>
        <w:t xml:space="preserve"> for both depression and SUD </w:t>
      </w:r>
      <w:r w:rsidRPr="76A10730" w:rsidR="454C18C7">
        <w:rPr>
          <w:rFonts w:ascii="Aptos" w:hAnsi="Aptos" w:eastAsia="" w:cs="Aptos" w:eastAsiaTheme="minorEastAsia"/>
          <w:color w:val="000000" w:themeColor="text1" w:themeTint="FF" w:themeShade="FF"/>
          <w:sz w:val="24"/>
          <w:szCs w:val="24"/>
        </w:rPr>
        <w:t>for a</w:t>
      </w:r>
      <w:r w:rsidRPr="76A10730" w:rsidR="454C18C7">
        <w:rPr>
          <w:rFonts w:ascii="Aptos" w:hAnsi="Aptos" w:eastAsia="" w:cs="Aptos" w:eastAsiaTheme="minorEastAsia"/>
          <w:b w:val="1"/>
          <w:bCs w:val="1"/>
          <w:color w:val="000000" w:themeColor="text1" w:themeTint="FF" w:themeShade="FF"/>
          <w:sz w:val="24"/>
          <w:szCs w:val="24"/>
        </w:rPr>
        <w:t xml:space="preserve"> </w:t>
      </w:r>
      <w:r w:rsidRPr="76A10730" w:rsidR="454C18C7">
        <w:rPr>
          <w:rFonts w:ascii="Aptos" w:hAnsi="Aptos" w:eastAsia="" w:cs="Aptos" w:eastAsiaTheme="minorEastAsia"/>
          <w:b w:val="1"/>
          <w:bCs w:val="1"/>
          <w:color w:val="000000" w:themeColor="text1" w:themeTint="FF" w:themeShade="FF"/>
          <w:sz w:val="24"/>
          <w:szCs w:val="24"/>
        </w:rPr>
        <w:t>6 or 12 month</w:t>
      </w:r>
      <w:r w:rsidRPr="76A10730" w:rsidR="454C18C7">
        <w:rPr>
          <w:rFonts w:ascii="Aptos" w:hAnsi="Aptos" w:eastAsia="" w:cs="Aptos" w:eastAsiaTheme="minorEastAsia"/>
          <w:b w:val="1"/>
          <w:bCs w:val="1"/>
          <w:color w:val="000000" w:themeColor="text1" w:themeTint="FF" w:themeShade="FF"/>
          <w:sz w:val="24"/>
          <w:szCs w:val="24"/>
        </w:rPr>
        <w:t xml:space="preserve"> period</w:t>
      </w:r>
      <w:r w:rsidRPr="76A10730" w:rsidR="6E6A3CD1">
        <w:rPr>
          <w:rFonts w:ascii="Aptos" w:hAnsi="Aptos" w:eastAsia="" w:cs="Aptos" w:eastAsiaTheme="minorEastAsia"/>
          <w:b w:val="1"/>
          <w:bCs w:val="1"/>
          <w:color w:val="000000" w:themeColor="text1" w:themeTint="FF" w:themeShade="FF"/>
          <w:sz w:val="24"/>
          <w:szCs w:val="24"/>
        </w:rPr>
        <w:t>.</w:t>
      </w:r>
      <w:r w:rsidRPr="76A10730" w:rsidR="454C18C7">
        <w:rPr>
          <w:rFonts w:ascii="Aptos" w:hAnsi="Aptos" w:eastAsia="" w:cs="Aptos" w:eastAsiaTheme="minorEastAsia"/>
          <w:color w:val="000000" w:themeColor="text1" w:themeTint="FF" w:themeShade="FF"/>
          <w:sz w:val="24"/>
          <w:szCs w:val="24"/>
        </w:rPr>
        <w:t xml:space="preserve"> Must include numerators </w:t>
      </w:r>
      <w:r w:rsidRPr="76A10730" w:rsidR="7CF4A708">
        <w:rPr>
          <w:rFonts w:ascii="Aptos" w:hAnsi="Aptos" w:eastAsia="" w:cs="Aptos" w:eastAsiaTheme="minorEastAsia"/>
          <w:color w:val="000000" w:themeColor="text1" w:themeTint="FF" w:themeShade="FF"/>
          <w:sz w:val="24"/>
          <w:szCs w:val="24"/>
        </w:rPr>
        <w:t>and</w:t>
      </w:r>
      <w:r w:rsidRPr="76A10730" w:rsidR="454C18C7">
        <w:rPr>
          <w:rFonts w:ascii="Aptos" w:hAnsi="Aptos" w:eastAsia="" w:cs="Aptos" w:eastAsiaTheme="minorEastAsia"/>
          <w:color w:val="000000" w:themeColor="text1" w:themeTint="FF" w:themeShade="FF"/>
          <w:sz w:val="24"/>
          <w:szCs w:val="24"/>
        </w:rPr>
        <w:t xml:space="preserve"> denominators for each measure, reporting period, and review frequency.</w:t>
      </w:r>
      <w:r w:rsidRPr="76A10730" w:rsidR="2F866866">
        <w:rPr>
          <w:rFonts w:ascii="Aptos" w:hAnsi="Aptos" w:eastAsia="" w:cs="Aptos" w:eastAsiaTheme="minorEastAsia"/>
          <w:color w:val="000000" w:themeColor="text1" w:themeTint="FF" w:themeShade="FF"/>
          <w:sz w:val="24"/>
          <w:szCs w:val="24"/>
        </w:rPr>
        <w:t xml:space="preserve"> </w:t>
      </w:r>
      <w:r w:rsidRPr="76A10730" w:rsidR="2F866866">
        <w:rPr>
          <w:rFonts w:ascii="Aptos" w:hAnsi="Aptos" w:eastAsia="Aptos" w:cs="Aptos"/>
          <w:noProof w:val="0"/>
          <w:sz w:val="24"/>
          <w:szCs w:val="24"/>
          <w:lang w:val="en-US"/>
        </w:rPr>
        <w:t>Note: Population of Focus (PoF) refers to your practice's designated patient population for this EPT program (Pregnant People, Children &amp; Youth, or Adults)</w:t>
      </w:r>
    </w:p>
    <w:p w:rsidRPr="00B519B2" w:rsidR="00B519B2" w:rsidP="708FC2E1" w:rsidRDefault="00B519B2" w14:paraId="49572B2E" w14:textId="222EF75A">
      <w:pPr>
        <w:spacing w:before="100" w:beforeAutospacing="1" w:after="100" w:afterAutospacing="1" w:line="240" w:lineRule="auto"/>
        <w:outlineLvl w:val="2"/>
        <w:rPr>
          <w:rFonts w:ascii="Aptos" w:hAnsi="Aptos" w:cs="Aptos" w:eastAsiaTheme="minorEastAsia"/>
          <w:color w:val="000000" w:themeColor="text1"/>
          <w:sz w:val="24"/>
          <w:szCs w:val="24"/>
        </w:rPr>
      </w:pPr>
    </w:p>
    <w:p w:rsidRPr="00B519B2" w:rsidR="00B519B2" w:rsidP="708FC2E1" w:rsidRDefault="1800B6EE" w14:paraId="37C49FB0" w14:textId="0870478F">
      <w:pPr>
        <w:spacing w:before="100" w:beforeAutospacing="1" w:after="100" w:afterAutospacing="1" w:line="240" w:lineRule="auto"/>
        <w:outlineLvl w:val="2"/>
        <w:rPr>
          <w:rFonts w:ascii="Aptos" w:hAnsi="Aptos" w:cs="Aptos" w:eastAsiaTheme="minorEastAsia"/>
          <w:color w:val="000000" w:themeColor="text1"/>
          <w:kern w:val="0"/>
          <w:sz w:val="24"/>
          <w:szCs w:val="24"/>
          <w14:ligatures w14:val="none"/>
        </w:rPr>
      </w:pPr>
      <w:r w:rsidRPr="708FC2E1">
        <w:rPr>
          <w:rFonts w:ascii="Aptos" w:hAnsi="Aptos" w:cs="Aptos" w:eastAsiaTheme="minorEastAsia"/>
          <w:color w:val="000000" w:themeColor="text1"/>
          <w:kern w:val="0"/>
          <w:sz w:val="24"/>
          <w:szCs w:val="24"/>
          <w14:ligatures w14:val="none"/>
        </w:rPr>
        <w:t>Practices will identify a</w:t>
      </w:r>
      <w:r w:rsidRPr="708FC2E1">
        <w:rPr>
          <w:rFonts w:ascii="Aptos" w:hAnsi="Aptos" w:cs="Aptos" w:eastAsiaTheme="minorEastAsia"/>
          <w:b/>
          <w:bCs/>
          <w:color w:val="000000" w:themeColor="text1"/>
          <w:kern w:val="0"/>
          <w:sz w:val="24"/>
          <w:szCs w:val="24"/>
          <w14:ligatures w14:val="none"/>
        </w:rPr>
        <w:t xml:space="preserve"> </w:t>
      </w:r>
      <w:proofErr w:type="gramStart"/>
      <w:r w:rsidRPr="708FC2E1">
        <w:rPr>
          <w:rFonts w:ascii="Aptos" w:hAnsi="Aptos" w:cs="Aptos" w:eastAsiaTheme="minorEastAsia"/>
          <w:b/>
          <w:bCs/>
          <w:color w:val="000000" w:themeColor="text1"/>
          <w:kern w:val="0"/>
          <w:sz w:val="24"/>
          <w:szCs w:val="24"/>
          <w14:ligatures w14:val="none"/>
        </w:rPr>
        <w:t>6</w:t>
      </w:r>
      <w:r w:rsidRPr="708FC2E1" w:rsidR="33457B51">
        <w:rPr>
          <w:rFonts w:ascii="Aptos" w:hAnsi="Aptos" w:cs="Aptos" w:eastAsiaTheme="minorEastAsia"/>
          <w:b/>
          <w:bCs/>
          <w:color w:val="000000" w:themeColor="text1"/>
          <w:kern w:val="0"/>
          <w:sz w:val="24"/>
          <w:szCs w:val="24"/>
          <w14:ligatures w14:val="none"/>
        </w:rPr>
        <w:t xml:space="preserve"> or </w:t>
      </w:r>
      <w:r w:rsidRPr="708FC2E1">
        <w:rPr>
          <w:rFonts w:ascii="Aptos" w:hAnsi="Aptos" w:cs="Aptos" w:eastAsiaTheme="minorEastAsia"/>
          <w:b/>
          <w:bCs/>
          <w:color w:val="000000" w:themeColor="text1"/>
          <w:kern w:val="0"/>
          <w:sz w:val="24"/>
          <w:szCs w:val="24"/>
          <w14:ligatures w14:val="none"/>
        </w:rPr>
        <w:t>12 month</w:t>
      </w:r>
      <w:proofErr w:type="gramEnd"/>
      <w:r w:rsidRPr="708FC2E1">
        <w:rPr>
          <w:rFonts w:ascii="Aptos" w:hAnsi="Aptos" w:cs="Aptos" w:eastAsiaTheme="minorEastAsia"/>
          <w:b/>
          <w:bCs/>
          <w:color w:val="000000" w:themeColor="text1"/>
          <w:kern w:val="0"/>
          <w:sz w:val="24"/>
          <w:szCs w:val="24"/>
          <w14:ligatures w14:val="none"/>
        </w:rPr>
        <w:t xml:space="preserve"> </w:t>
      </w:r>
      <w:r w:rsidRPr="708FC2E1" w:rsidR="54C6AFF9">
        <w:rPr>
          <w:rFonts w:ascii="Aptos" w:hAnsi="Aptos" w:cs="Aptos" w:eastAsiaTheme="minorEastAsia"/>
          <w:b/>
          <w:bCs/>
          <w:color w:val="000000" w:themeColor="text1"/>
          <w:kern w:val="0"/>
          <w:sz w:val="24"/>
          <w:szCs w:val="24"/>
          <w14:ligatures w14:val="none"/>
        </w:rPr>
        <w:t xml:space="preserve">Baseline </w:t>
      </w:r>
      <w:r w:rsidRPr="708FC2E1">
        <w:rPr>
          <w:rFonts w:ascii="Aptos" w:hAnsi="Aptos" w:cs="Aptos" w:eastAsiaTheme="minorEastAsia"/>
          <w:color w:val="000000" w:themeColor="text1"/>
          <w:kern w:val="0"/>
          <w:sz w:val="24"/>
          <w:szCs w:val="24"/>
          <w14:ligatures w14:val="none"/>
        </w:rPr>
        <w:t>period</w:t>
      </w:r>
      <w:r w:rsidRPr="708FC2E1" w:rsidR="00B519B2">
        <w:rPr>
          <w:rFonts w:ascii="Aptos" w:hAnsi="Aptos" w:cs="Aptos" w:eastAsiaTheme="minorEastAsia"/>
          <w:color w:val="000000" w:themeColor="text1"/>
          <w:kern w:val="0"/>
          <w:sz w:val="24"/>
          <w:szCs w:val="24"/>
          <w14:ligatures w14:val="none"/>
        </w:rPr>
        <w:t xml:space="preserve"> </w:t>
      </w:r>
      <w:r w:rsidRPr="708FC2E1" w:rsidR="485DC94D">
        <w:rPr>
          <w:rFonts w:ascii="Aptos" w:hAnsi="Aptos" w:cs="Aptos" w:eastAsiaTheme="minorEastAsia"/>
          <w:color w:val="000000" w:themeColor="text1"/>
          <w:kern w:val="0"/>
          <w:sz w:val="24"/>
          <w:szCs w:val="24"/>
          <w14:ligatures w14:val="none"/>
        </w:rPr>
        <w:t>(CY</w:t>
      </w:r>
      <w:r w:rsidRPr="708FC2E1" w:rsidR="2AC2F60B">
        <w:rPr>
          <w:rFonts w:ascii="Aptos" w:hAnsi="Aptos" w:cs="Aptos" w:eastAsiaTheme="minorEastAsia"/>
          <w:color w:val="000000" w:themeColor="text1"/>
          <w:kern w:val="0"/>
          <w:sz w:val="24"/>
          <w:szCs w:val="24"/>
          <w14:ligatures w14:val="none"/>
        </w:rPr>
        <w:t xml:space="preserve"> </w:t>
      </w:r>
      <w:r w:rsidRPr="708FC2E1" w:rsidR="485DC94D">
        <w:rPr>
          <w:rFonts w:ascii="Aptos" w:hAnsi="Aptos" w:cs="Aptos" w:eastAsiaTheme="minorEastAsia"/>
          <w:color w:val="000000" w:themeColor="text1"/>
          <w:kern w:val="0"/>
          <w:sz w:val="24"/>
          <w:szCs w:val="24"/>
          <w14:ligatures w14:val="none"/>
        </w:rPr>
        <w:t>2024 is recommended; Practices may report on CY 2025, but the baseline period should not overlap with implementation reporting period)</w:t>
      </w:r>
      <w:r w:rsidRPr="708FC2E1" w:rsidR="20CC85C2">
        <w:rPr>
          <w:rFonts w:ascii="Aptos" w:hAnsi="Aptos" w:cs="Aptos" w:eastAsiaTheme="minorEastAsia"/>
          <w:color w:val="000000" w:themeColor="text1"/>
          <w:kern w:val="0"/>
          <w:sz w:val="24"/>
          <w:szCs w:val="24"/>
          <w14:ligatures w14:val="none"/>
        </w:rPr>
        <w:t>.</w:t>
      </w:r>
      <w:r w:rsidR="00B519B2">
        <w:rPr>
          <w:rFonts w:ascii="Aptos" w:hAnsi="Aptos" w:cs="Aptos" w:eastAsiaTheme="minorEastAsia"/>
          <w:b/>
          <w:bCs/>
          <w:color w:val="000000" w:themeColor="text1"/>
          <w:kern w:val="0"/>
          <w:sz w:val="24"/>
          <w:szCs w:val="24"/>
          <w14:ligatures w14:val="none"/>
        </w:rPr>
        <w:br/>
      </w:r>
    </w:p>
    <w:p w:rsidR="00290C90" w:rsidP="708FC2E1" w:rsidRDefault="641F666C" w14:paraId="39A87C26" w14:textId="3E719CE2">
      <w:pPr>
        <w:spacing w:beforeAutospacing="1" w:afterAutospacing="1" w:line="240" w:lineRule="auto"/>
        <w:outlineLvl w:val="2"/>
        <w:rPr>
          <w:rFonts w:ascii="Aptos" w:hAnsi="Aptos" w:eastAsiaTheme="minorEastAsia"/>
          <w:sz w:val="24"/>
          <w:szCs w:val="24"/>
        </w:rPr>
      </w:pPr>
      <w:r w:rsidRPr="708FC2E1">
        <w:rPr>
          <w:rFonts w:ascii="Aptos" w:hAnsi="Aptos" w:eastAsiaTheme="minorEastAsia"/>
          <w:sz w:val="24"/>
          <w:szCs w:val="24"/>
        </w:rPr>
        <w:t>Practices will s</w:t>
      </w:r>
      <w:r w:rsidRPr="708FC2E1" w:rsidR="263F122B">
        <w:rPr>
          <w:rFonts w:ascii="Aptos" w:hAnsi="Aptos" w:eastAsiaTheme="minorEastAsia"/>
          <w:sz w:val="24"/>
          <w:szCs w:val="24"/>
        </w:rPr>
        <w:t xml:space="preserve">ubmit </w:t>
      </w:r>
      <w:r w:rsidRPr="708FC2E1" w:rsidR="263F122B">
        <w:rPr>
          <w:rFonts w:ascii="Aptos" w:hAnsi="Aptos" w:eastAsiaTheme="minorEastAsia"/>
          <w:b/>
          <w:bCs/>
          <w:sz w:val="24"/>
          <w:szCs w:val="24"/>
        </w:rPr>
        <w:t xml:space="preserve">performance metrics for a </w:t>
      </w:r>
      <w:proofErr w:type="gramStart"/>
      <w:r w:rsidRPr="708FC2E1" w:rsidR="263F122B">
        <w:rPr>
          <w:rFonts w:ascii="Aptos" w:hAnsi="Aptos" w:eastAsiaTheme="minorEastAsia"/>
          <w:b/>
          <w:bCs/>
          <w:sz w:val="24"/>
          <w:szCs w:val="24"/>
        </w:rPr>
        <w:t>6 or 12 month</w:t>
      </w:r>
      <w:proofErr w:type="gramEnd"/>
      <w:r w:rsidRPr="708FC2E1" w:rsidR="263F122B">
        <w:rPr>
          <w:rFonts w:ascii="Aptos" w:hAnsi="Aptos" w:eastAsiaTheme="minorEastAsia"/>
          <w:b/>
          <w:bCs/>
          <w:sz w:val="24"/>
          <w:szCs w:val="24"/>
        </w:rPr>
        <w:t xml:space="preserve"> look-back period</w:t>
      </w:r>
      <w:r w:rsidRPr="708FC2E1" w:rsidR="263F122B">
        <w:rPr>
          <w:rFonts w:ascii="Aptos" w:hAnsi="Aptos" w:eastAsiaTheme="minorEastAsia"/>
          <w:sz w:val="24"/>
          <w:szCs w:val="24"/>
        </w:rPr>
        <w:t xml:space="preserve"> for the 6 depression and SUD quality measures</w:t>
      </w:r>
      <w:r w:rsidRPr="708FC2E1" w:rsidR="703C186E">
        <w:rPr>
          <w:rFonts w:ascii="Aptos" w:hAnsi="Aptos" w:eastAsiaTheme="minorEastAsia"/>
          <w:sz w:val="24"/>
          <w:szCs w:val="24"/>
        </w:rPr>
        <w:t>.</w:t>
      </w:r>
    </w:p>
    <w:p w:rsidR="00290C90" w:rsidP="708FC2E1" w:rsidRDefault="00290C90" w14:paraId="2938E57A" w14:textId="614D3C33">
      <w:pPr>
        <w:spacing w:beforeAutospacing="1" w:afterAutospacing="1" w:line="240" w:lineRule="auto"/>
        <w:outlineLvl w:val="2"/>
        <w:rPr>
          <w:rFonts w:ascii="Aptos" w:hAnsi="Aptos" w:eastAsiaTheme="minorEastAsia"/>
          <w:sz w:val="24"/>
          <w:szCs w:val="24"/>
        </w:rPr>
      </w:pPr>
    </w:p>
    <w:p w:rsidR="00290C90" w:rsidP="708FC2E1" w:rsidRDefault="263F122B" w14:paraId="5CF9FB1F" w14:textId="21244E48">
      <w:pPr>
        <w:spacing w:beforeAutospacing="1" w:afterAutospacing="1" w:line="240" w:lineRule="auto"/>
        <w:outlineLvl w:val="2"/>
        <w:rPr>
          <w:rFonts w:ascii="Aptos" w:hAnsi="Aptos" w:eastAsiaTheme="minorEastAsia"/>
          <w:sz w:val="24"/>
          <w:szCs w:val="24"/>
        </w:rPr>
      </w:pPr>
      <w:commentRangeStart w:id="2"/>
      <w:commentRangeStart w:id="3"/>
      <w:r w:rsidRPr="708FC2E1">
        <w:rPr>
          <w:rFonts w:ascii="Aptos" w:hAnsi="Aptos" w:eastAsiaTheme="minorEastAsia"/>
          <w:b/>
          <w:bCs/>
          <w:sz w:val="24"/>
          <w:szCs w:val="24"/>
        </w:rPr>
        <w:t xml:space="preserve">Example </w:t>
      </w:r>
      <w:commentRangeEnd w:id="2"/>
      <w:r w:rsidRPr="708FC2E1" w:rsidR="00290C90">
        <w:rPr>
          <w:rStyle w:val="CommentReference"/>
          <w:rFonts w:ascii="Aptos" w:hAnsi="Aptos" w:eastAsiaTheme="minorEastAsia"/>
          <w:b/>
          <w:bCs/>
          <w:sz w:val="24"/>
          <w:szCs w:val="24"/>
        </w:rPr>
        <w:commentReference w:id="2"/>
      </w:r>
      <w:commentRangeEnd w:id="3"/>
      <w:r>
        <w:rPr>
          <w:rStyle w:val="CommentReference"/>
        </w:rPr>
        <w:commentReference w:id="3"/>
      </w:r>
      <w:r w:rsidRPr="708FC2E1">
        <w:rPr>
          <w:rFonts w:ascii="Aptos" w:hAnsi="Aptos" w:eastAsiaTheme="minorEastAsia"/>
          <w:b/>
          <w:bCs/>
          <w:sz w:val="24"/>
          <w:szCs w:val="24"/>
        </w:rPr>
        <w:t xml:space="preserve">1: </w:t>
      </w:r>
      <w:r w:rsidRPr="708FC2E1">
        <w:rPr>
          <w:rFonts w:ascii="Aptos" w:hAnsi="Aptos" w:eastAsiaTheme="minorEastAsia"/>
          <w:sz w:val="24"/>
          <w:szCs w:val="24"/>
        </w:rPr>
        <w:t>The practice reported a baseline period of FY24/25; their implementation look-back period will be FY25/26.</w:t>
      </w:r>
    </w:p>
    <w:p w:rsidR="00290C90" w:rsidP="708FC2E1" w:rsidRDefault="263F122B" w14:paraId="3897543A" w14:textId="03484FBE">
      <w:pPr>
        <w:spacing w:beforeAutospacing="1" w:afterAutospacing="1" w:line="240" w:lineRule="auto"/>
        <w:outlineLvl w:val="2"/>
        <w:rPr>
          <w:rFonts w:ascii="Aptos" w:hAnsi="Aptos" w:eastAsiaTheme="minorEastAsia"/>
          <w:sz w:val="24"/>
          <w:szCs w:val="24"/>
        </w:rPr>
      </w:pPr>
      <w:r w:rsidRPr="708FC2E1">
        <w:rPr>
          <w:rFonts w:ascii="Aptos" w:hAnsi="Aptos" w:eastAsiaTheme="minorEastAsia"/>
          <w:b/>
          <w:bCs/>
          <w:sz w:val="24"/>
          <w:szCs w:val="24"/>
        </w:rPr>
        <w:t>Example 2:</w:t>
      </w:r>
      <w:r w:rsidRPr="708FC2E1">
        <w:rPr>
          <w:rFonts w:ascii="Aptos" w:hAnsi="Aptos" w:eastAsiaTheme="minorEastAsia"/>
          <w:sz w:val="24"/>
          <w:szCs w:val="24"/>
        </w:rPr>
        <w:t xml:space="preserve"> The practice baseline period is January-June 2025; their implementation look-back period will be January-June 2026.</w:t>
      </w:r>
    </w:p>
    <w:p w:rsidR="00290C90" w:rsidP="708FC2E1" w:rsidRDefault="00290C90" w14:paraId="44B46391" w14:textId="6DE568AB">
      <w:pPr>
        <w:spacing w:beforeAutospacing="1" w:afterAutospacing="1" w:line="240" w:lineRule="auto"/>
        <w:outlineLvl w:val="2"/>
        <w:rPr>
          <w:rFonts w:ascii="Aptos" w:hAnsi="Aptos" w:eastAsiaTheme="minorEastAsia"/>
          <w:sz w:val="24"/>
          <w:szCs w:val="24"/>
        </w:rPr>
      </w:pPr>
    </w:p>
    <w:p w:rsidR="00290C90" w:rsidP="708FC2E1" w:rsidRDefault="268F3E6E" w14:paraId="2131C388" w14:textId="218F6E8D">
      <w:pPr>
        <w:spacing w:beforeAutospacing="1" w:afterAutospacing="1" w:line="240" w:lineRule="auto"/>
        <w:outlineLvl w:val="2"/>
        <w:rPr>
          <w:rFonts w:ascii="Aptos" w:hAnsi="Aptos" w:eastAsiaTheme="minorEastAsia"/>
          <w:b/>
          <w:bCs/>
          <w:color w:val="215E99" w:themeColor="text2" w:themeTint="BF"/>
          <w:sz w:val="24"/>
          <w:szCs w:val="24"/>
        </w:rPr>
      </w:pPr>
      <w:r w:rsidRPr="708FC2E1">
        <w:rPr>
          <w:rFonts w:ascii="Aptos" w:hAnsi="Aptos" w:eastAsiaTheme="minorEastAsia"/>
          <w:b/>
          <w:bCs/>
          <w:color w:val="215E99" w:themeColor="text2" w:themeTint="BF"/>
          <w:sz w:val="24"/>
          <w:szCs w:val="24"/>
        </w:rPr>
        <w:t>Baseline</w:t>
      </w:r>
      <w:r w:rsidRPr="708FC2E1" w:rsidR="79CBF1A2">
        <w:rPr>
          <w:rFonts w:ascii="Aptos" w:hAnsi="Aptos" w:eastAsiaTheme="minorEastAsia"/>
          <w:b/>
          <w:bCs/>
          <w:color w:val="215E99" w:themeColor="text2" w:themeTint="BF"/>
          <w:sz w:val="24"/>
          <w:szCs w:val="24"/>
        </w:rPr>
        <w:t xml:space="preserve"> Metrics</w:t>
      </w:r>
      <w:r w:rsidRPr="708FC2E1">
        <w:rPr>
          <w:rFonts w:ascii="Aptos" w:hAnsi="Aptos" w:eastAsiaTheme="minorEastAsia"/>
          <w:b/>
          <w:bCs/>
          <w:color w:val="215E99" w:themeColor="text2" w:themeTint="BF"/>
          <w:sz w:val="24"/>
          <w:szCs w:val="24"/>
        </w:rPr>
        <w:t xml:space="preserve"> Reporting Grading Criteria</w:t>
      </w:r>
    </w:p>
    <w:p w:rsidR="00290C90" w:rsidP="07EA80C5" w:rsidRDefault="268F3E6E" w14:paraId="654EA057" w14:textId="1BE72E8D">
      <w:pPr>
        <w:spacing w:after="0" w:line="300" w:lineRule="auto"/>
        <w:rPr>
          <w:rFonts w:eastAsiaTheme="minorEastAsia"/>
          <w:sz w:val="24"/>
          <w:szCs w:val="24"/>
        </w:rPr>
      </w:pPr>
      <w:r w:rsidRPr="07EA80C5">
        <w:rPr>
          <w:rFonts w:ascii="Segoe UI" w:hAnsi="Segoe UI" w:eastAsia="Segoe UI" w:cs="Segoe UI"/>
          <w:b/>
          <w:bCs/>
          <w:sz w:val="21"/>
          <w:szCs w:val="21"/>
        </w:rPr>
        <w:t xml:space="preserve">🟢 </w:t>
      </w:r>
      <w:r w:rsidRPr="07EA80C5" w:rsidR="49510EC1">
        <w:rPr>
          <w:rFonts w:ascii="Segoe UI" w:hAnsi="Segoe UI" w:eastAsia="Segoe UI" w:cs="Segoe UI"/>
          <w:b/>
          <w:bCs/>
          <w:sz w:val="21"/>
          <w:szCs w:val="21"/>
        </w:rPr>
        <w:t>ACCEPTED</w:t>
      </w:r>
      <w:r w:rsidRPr="07EA80C5">
        <w:rPr>
          <w:rFonts w:eastAsiaTheme="minorEastAsia"/>
          <w:b/>
          <w:bCs/>
          <w:sz w:val="24"/>
          <w:szCs w:val="24"/>
        </w:rPr>
        <w:t>:</w:t>
      </w:r>
      <w:r w:rsidRPr="07EA80C5">
        <w:rPr>
          <w:rFonts w:eastAsiaTheme="minorEastAsia"/>
          <w:sz w:val="24"/>
          <w:szCs w:val="24"/>
        </w:rPr>
        <w:t xml:space="preserve"> Baseline values for </w:t>
      </w:r>
      <w:r w:rsidRPr="07EA80C5" w:rsidR="2A29EF42">
        <w:rPr>
          <w:rFonts w:eastAsiaTheme="minorEastAsia"/>
          <w:sz w:val="24"/>
          <w:szCs w:val="24"/>
        </w:rPr>
        <w:t>partial or all</w:t>
      </w:r>
      <w:r w:rsidRPr="07EA80C5">
        <w:rPr>
          <w:rFonts w:eastAsiaTheme="minorEastAsia"/>
          <w:sz w:val="24"/>
          <w:szCs w:val="24"/>
        </w:rPr>
        <w:t xml:space="preserve"> </w:t>
      </w:r>
      <w:r w:rsidRPr="07EA80C5" w:rsidR="351E3557">
        <w:rPr>
          <w:rFonts w:eastAsiaTheme="minorEastAsia"/>
          <w:sz w:val="24"/>
          <w:szCs w:val="24"/>
        </w:rPr>
        <w:t>six</w:t>
      </w:r>
      <w:r w:rsidRPr="07EA80C5">
        <w:rPr>
          <w:rFonts w:eastAsiaTheme="minorEastAsia"/>
          <w:sz w:val="24"/>
          <w:szCs w:val="24"/>
        </w:rPr>
        <w:t xml:space="preserve"> measures</w:t>
      </w:r>
      <w:r w:rsidRPr="07EA80C5" w:rsidR="5B6FCEAB">
        <w:rPr>
          <w:rFonts w:eastAsiaTheme="minorEastAsia"/>
          <w:sz w:val="24"/>
          <w:szCs w:val="24"/>
        </w:rPr>
        <w:t xml:space="preserve"> with defined reporting period that does not overlap with the implementation period</w:t>
      </w:r>
      <w:r w:rsidRPr="07EA80C5">
        <w:rPr>
          <w:rFonts w:eastAsiaTheme="minorEastAsia"/>
          <w:sz w:val="24"/>
          <w:szCs w:val="24"/>
        </w:rPr>
        <w:t xml:space="preserve"> </w:t>
      </w:r>
      <w:r w:rsidRPr="07EA80C5">
        <w:rPr>
          <w:rFonts w:eastAsiaTheme="minorEastAsia"/>
          <w:b/>
          <w:bCs/>
          <w:sz w:val="24"/>
          <w:szCs w:val="24"/>
        </w:rPr>
        <w:t>OR</w:t>
      </w:r>
      <w:r w:rsidRPr="07EA80C5">
        <w:rPr>
          <w:rFonts w:eastAsiaTheme="minorEastAsia"/>
          <w:sz w:val="24"/>
          <w:szCs w:val="24"/>
        </w:rPr>
        <w:t xml:space="preserve"> a clear, specific reason why th</w:t>
      </w:r>
      <w:r w:rsidRPr="07EA80C5" w:rsidR="0624B56B">
        <w:rPr>
          <w:rFonts w:eastAsiaTheme="minorEastAsia"/>
          <w:sz w:val="24"/>
          <w:szCs w:val="24"/>
        </w:rPr>
        <w:t>e practice</w:t>
      </w:r>
      <w:r w:rsidRPr="07EA80C5">
        <w:rPr>
          <w:rFonts w:eastAsiaTheme="minorEastAsia"/>
          <w:sz w:val="24"/>
          <w:szCs w:val="24"/>
        </w:rPr>
        <w:t xml:space="preserve"> cannot </w:t>
      </w:r>
      <w:r w:rsidRPr="07EA80C5" w:rsidR="44B2002E">
        <w:rPr>
          <w:rFonts w:eastAsiaTheme="minorEastAsia"/>
          <w:sz w:val="24"/>
          <w:szCs w:val="24"/>
        </w:rPr>
        <w:t>report on the baseline measures.</w:t>
      </w:r>
    </w:p>
    <w:p w:rsidR="00290C90" w:rsidP="07EA80C5" w:rsidRDefault="268F3E6E" w14:paraId="5E3F66A8" w14:textId="43DF23E7">
      <w:pPr>
        <w:spacing w:after="0" w:line="300" w:lineRule="auto"/>
        <w:rPr>
          <w:rFonts w:eastAsiaTheme="minorEastAsia"/>
          <w:sz w:val="24"/>
          <w:szCs w:val="24"/>
        </w:rPr>
      </w:pPr>
      <w:r w:rsidRPr="07EA80C5">
        <w:rPr>
          <w:rFonts w:ascii="Segoe UI" w:hAnsi="Segoe UI" w:eastAsia="Segoe UI" w:cs="Segoe UI"/>
          <w:b/>
          <w:bCs/>
          <w:sz w:val="21"/>
          <w:szCs w:val="21"/>
        </w:rPr>
        <w:t xml:space="preserve">🔴 </w:t>
      </w:r>
      <w:r w:rsidRPr="07EA80C5" w:rsidR="589DA82D">
        <w:rPr>
          <w:rFonts w:eastAsiaTheme="minorEastAsia"/>
          <w:b/>
          <w:bCs/>
          <w:sz w:val="24"/>
          <w:szCs w:val="24"/>
        </w:rPr>
        <w:t>NOT ACCEPTED</w:t>
      </w:r>
      <w:r w:rsidRPr="07EA80C5">
        <w:rPr>
          <w:rFonts w:eastAsiaTheme="minorEastAsia"/>
          <w:b/>
          <w:bCs/>
          <w:sz w:val="24"/>
          <w:szCs w:val="24"/>
        </w:rPr>
        <w:t>:</w:t>
      </w:r>
      <w:r w:rsidRPr="07EA80C5">
        <w:rPr>
          <w:rFonts w:eastAsiaTheme="minorEastAsia"/>
          <w:sz w:val="24"/>
          <w:szCs w:val="24"/>
        </w:rPr>
        <w:t xml:space="preserve"> </w:t>
      </w:r>
      <w:r w:rsidRPr="07EA80C5" w:rsidR="49C571CC">
        <w:rPr>
          <w:rFonts w:eastAsiaTheme="minorEastAsia"/>
          <w:sz w:val="24"/>
          <w:szCs w:val="24"/>
        </w:rPr>
        <w:t>There is a non-specific or unclear justification for unable to report for a portion or all six measure</w:t>
      </w:r>
      <w:r w:rsidRPr="07EA80C5" w:rsidR="082FFD82">
        <w:rPr>
          <w:rFonts w:eastAsiaTheme="minorEastAsia"/>
          <w:sz w:val="24"/>
          <w:szCs w:val="24"/>
        </w:rPr>
        <w:t>s</w:t>
      </w:r>
      <w:r w:rsidRPr="07EA80C5" w:rsidR="49C571CC">
        <w:rPr>
          <w:rFonts w:eastAsiaTheme="minorEastAsia"/>
          <w:sz w:val="24"/>
          <w:szCs w:val="24"/>
        </w:rPr>
        <w:t>.</w:t>
      </w:r>
    </w:p>
    <w:p w:rsidR="00290C90" w:rsidP="708FC2E1" w:rsidRDefault="00290C90" w14:paraId="1136D8DD" w14:textId="7FEAFB53">
      <w:pPr>
        <w:spacing w:beforeAutospacing="1" w:afterAutospacing="1" w:line="240" w:lineRule="auto"/>
        <w:outlineLvl w:val="2"/>
        <w:rPr>
          <w:rFonts w:ascii="Aptos" w:hAnsi="Aptos" w:eastAsiaTheme="minorEastAsia"/>
          <w:b/>
          <w:bCs/>
          <w:sz w:val="24"/>
          <w:szCs w:val="24"/>
        </w:rPr>
      </w:pPr>
    </w:p>
    <w:p w:rsidR="00290C90" w:rsidP="708FC2E1" w:rsidRDefault="2E224941" w14:paraId="6D9A8D69" w14:textId="34A9B6C5">
      <w:pPr>
        <w:spacing w:beforeAutospacing="1" w:afterAutospacing="1" w:line="240" w:lineRule="auto"/>
        <w:outlineLvl w:val="2"/>
        <w:rPr>
          <w:rFonts w:ascii="Aptos" w:hAnsi="Aptos" w:eastAsiaTheme="minorEastAsia"/>
          <w:b/>
          <w:bCs/>
          <w:color w:val="215E99" w:themeColor="text2" w:themeTint="BF"/>
          <w:sz w:val="24"/>
          <w:szCs w:val="24"/>
        </w:rPr>
      </w:pPr>
      <w:r w:rsidRPr="708FC2E1">
        <w:rPr>
          <w:rFonts w:ascii="Aptos" w:hAnsi="Aptos" w:eastAsiaTheme="minorEastAsia"/>
          <w:b/>
          <w:bCs/>
          <w:color w:val="215E99" w:themeColor="text2" w:themeTint="BF"/>
          <w:sz w:val="24"/>
          <w:szCs w:val="24"/>
        </w:rPr>
        <w:t>Performance Metrics Reporting Grading Criteria</w:t>
      </w:r>
    </w:p>
    <w:p w:rsidR="00290C90" w:rsidP="07EA80C5" w:rsidRDefault="2E224941" w14:paraId="4A660C05" w14:textId="5292F5BE">
      <w:pPr>
        <w:spacing w:after="0" w:line="300" w:lineRule="auto"/>
        <w:rPr>
          <w:rFonts w:eastAsiaTheme="minorEastAsia"/>
          <w:sz w:val="24"/>
          <w:szCs w:val="24"/>
        </w:rPr>
      </w:pPr>
      <w:r w:rsidRPr="07EA80C5">
        <w:rPr>
          <w:rFonts w:ascii="Segoe UI" w:hAnsi="Segoe UI" w:eastAsia="Segoe UI" w:cs="Segoe UI"/>
          <w:b/>
          <w:bCs/>
          <w:sz w:val="21"/>
          <w:szCs w:val="21"/>
        </w:rPr>
        <w:t xml:space="preserve">🟢 </w:t>
      </w:r>
      <w:r w:rsidRPr="07EA80C5" w:rsidR="0E2256A4">
        <w:rPr>
          <w:rFonts w:eastAsiaTheme="minorEastAsia"/>
          <w:b/>
          <w:bCs/>
          <w:sz w:val="24"/>
          <w:szCs w:val="24"/>
        </w:rPr>
        <w:t>ACCEPTED</w:t>
      </w:r>
      <w:r w:rsidRPr="07EA80C5">
        <w:rPr>
          <w:rFonts w:eastAsiaTheme="minorEastAsia"/>
          <w:b/>
          <w:bCs/>
          <w:sz w:val="24"/>
          <w:szCs w:val="24"/>
        </w:rPr>
        <w:t>:</w:t>
      </w:r>
      <w:r w:rsidRPr="07EA80C5">
        <w:rPr>
          <w:rFonts w:eastAsiaTheme="minorEastAsia"/>
          <w:sz w:val="24"/>
          <w:szCs w:val="24"/>
        </w:rPr>
        <w:t xml:space="preserve"> </w:t>
      </w:r>
      <w:r w:rsidRPr="07EA80C5" w:rsidR="147221FB">
        <w:rPr>
          <w:rFonts w:eastAsiaTheme="minorEastAsia"/>
          <w:sz w:val="24"/>
          <w:szCs w:val="24"/>
        </w:rPr>
        <w:t xml:space="preserve">Numerator + denominator for all </w:t>
      </w:r>
      <w:r w:rsidRPr="07EA80C5" w:rsidR="09C3294C">
        <w:rPr>
          <w:rFonts w:eastAsiaTheme="minorEastAsia"/>
          <w:sz w:val="24"/>
          <w:szCs w:val="24"/>
        </w:rPr>
        <w:t>six</w:t>
      </w:r>
      <w:r w:rsidRPr="07EA80C5" w:rsidR="147221FB">
        <w:rPr>
          <w:rFonts w:eastAsiaTheme="minorEastAsia"/>
          <w:sz w:val="24"/>
          <w:szCs w:val="24"/>
        </w:rPr>
        <w:t xml:space="preserve"> measures </w:t>
      </w:r>
      <w:r w:rsidRPr="07EA80C5" w:rsidR="147221FB">
        <w:rPr>
          <w:rFonts w:eastAsiaTheme="minorEastAsia"/>
          <w:b/>
          <w:bCs/>
          <w:sz w:val="24"/>
          <w:szCs w:val="24"/>
        </w:rPr>
        <w:t>AND</w:t>
      </w:r>
      <w:r w:rsidRPr="07EA80C5" w:rsidR="147221FB">
        <w:rPr>
          <w:rFonts w:eastAsiaTheme="minorEastAsia"/>
          <w:sz w:val="24"/>
          <w:szCs w:val="24"/>
        </w:rPr>
        <w:t xml:space="preserve"> reporting period </w:t>
      </w:r>
      <w:r w:rsidRPr="07EA80C5" w:rsidR="546E6623">
        <w:rPr>
          <w:rFonts w:eastAsiaTheme="minorEastAsia"/>
          <w:sz w:val="24"/>
          <w:szCs w:val="24"/>
        </w:rPr>
        <w:t>that does not overlap baseline</w:t>
      </w:r>
      <w:r w:rsidRPr="07EA80C5" w:rsidR="7159FAD0">
        <w:rPr>
          <w:rFonts w:eastAsiaTheme="minorEastAsia"/>
          <w:sz w:val="24"/>
          <w:szCs w:val="24"/>
        </w:rPr>
        <w:t xml:space="preserve"> </w:t>
      </w:r>
      <w:r w:rsidRPr="07EA80C5" w:rsidR="147221FB">
        <w:rPr>
          <w:rFonts w:eastAsiaTheme="minorEastAsia"/>
          <w:sz w:val="24"/>
          <w:szCs w:val="24"/>
        </w:rPr>
        <w:t>+ review frequency</w:t>
      </w:r>
      <w:r w:rsidRPr="07EA80C5" w:rsidR="45E8EA32">
        <w:rPr>
          <w:rFonts w:eastAsiaTheme="minorEastAsia"/>
          <w:sz w:val="24"/>
          <w:szCs w:val="24"/>
        </w:rPr>
        <w:t xml:space="preserve">, </w:t>
      </w:r>
    </w:p>
    <w:p w:rsidR="00290C90" w:rsidP="708FC2E1" w:rsidRDefault="5FEAD15A" w14:paraId="7A9268C2" w14:textId="5864FE02">
      <w:pPr>
        <w:spacing w:after="0" w:line="300" w:lineRule="auto"/>
        <w:rPr>
          <w:rFonts w:eastAsiaTheme="minorEastAsia"/>
          <w:sz w:val="24"/>
          <w:szCs w:val="24"/>
        </w:rPr>
      </w:pPr>
      <w:r w:rsidRPr="708FC2E1">
        <w:rPr>
          <w:rFonts w:eastAsiaTheme="minorEastAsia"/>
          <w:b/>
          <w:bCs/>
          <w:sz w:val="24"/>
          <w:szCs w:val="24"/>
        </w:rPr>
        <w:t xml:space="preserve">OR </w:t>
      </w:r>
      <w:r w:rsidRPr="708FC2E1">
        <w:rPr>
          <w:rFonts w:eastAsiaTheme="minorEastAsia"/>
          <w:sz w:val="24"/>
          <w:szCs w:val="24"/>
        </w:rPr>
        <w:t xml:space="preserve">Partial </w:t>
      </w:r>
      <w:r w:rsidRPr="708FC2E1" w:rsidR="39C069F6">
        <w:rPr>
          <w:rFonts w:eastAsiaTheme="minorEastAsia"/>
          <w:sz w:val="24"/>
          <w:szCs w:val="24"/>
        </w:rPr>
        <w:t>report</w:t>
      </w:r>
      <w:r w:rsidRPr="708FC2E1">
        <w:rPr>
          <w:rFonts w:eastAsiaTheme="minorEastAsia"/>
          <w:sz w:val="24"/>
          <w:szCs w:val="24"/>
        </w:rPr>
        <w:t xml:space="preserve"> of the six measures</w:t>
      </w:r>
      <w:r w:rsidRPr="708FC2E1" w:rsidR="73241163">
        <w:rPr>
          <w:rFonts w:eastAsiaTheme="minorEastAsia"/>
          <w:sz w:val="24"/>
          <w:szCs w:val="24"/>
        </w:rPr>
        <w:t xml:space="preserve"> </w:t>
      </w:r>
      <w:r w:rsidRPr="708FC2E1" w:rsidR="7C8403E5">
        <w:rPr>
          <w:rFonts w:eastAsiaTheme="minorEastAsia"/>
          <w:sz w:val="24"/>
          <w:szCs w:val="24"/>
        </w:rPr>
        <w:t>(numerator + denominator reported for 4/6 measures)</w:t>
      </w:r>
      <w:r w:rsidRPr="708FC2E1">
        <w:rPr>
          <w:rFonts w:eastAsiaTheme="minorEastAsia"/>
          <w:sz w:val="24"/>
          <w:szCs w:val="24"/>
        </w:rPr>
        <w:t xml:space="preserve"> with reporting period </w:t>
      </w:r>
      <w:r w:rsidRPr="708FC2E1" w:rsidR="6099306F">
        <w:rPr>
          <w:rFonts w:eastAsiaTheme="minorEastAsia"/>
          <w:sz w:val="24"/>
          <w:szCs w:val="24"/>
        </w:rPr>
        <w:t xml:space="preserve">that does not overlap with baseline </w:t>
      </w:r>
      <w:r w:rsidRPr="708FC2E1">
        <w:rPr>
          <w:rFonts w:eastAsiaTheme="minorEastAsia"/>
          <w:b/>
          <w:bCs/>
          <w:sz w:val="24"/>
          <w:szCs w:val="24"/>
        </w:rPr>
        <w:t>AND</w:t>
      </w:r>
      <w:r w:rsidRPr="708FC2E1">
        <w:rPr>
          <w:rFonts w:eastAsiaTheme="minorEastAsia"/>
          <w:sz w:val="24"/>
          <w:szCs w:val="24"/>
        </w:rPr>
        <w:t xml:space="preserve"> valid and reasonable justification for any measure</w:t>
      </w:r>
      <w:r w:rsidRPr="708FC2E1" w:rsidR="745BE4FE">
        <w:rPr>
          <w:rFonts w:eastAsiaTheme="minorEastAsia"/>
          <w:sz w:val="24"/>
          <w:szCs w:val="24"/>
        </w:rPr>
        <w:t>(</w:t>
      </w:r>
      <w:r w:rsidRPr="708FC2E1">
        <w:rPr>
          <w:rFonts w:eastAsiaTheme="minorEastAsia"/>
          <w:sz w:val="24"/>
          <w:szCs w:val="24"/>
        </w:rPr>
        <w:t>s</w:t>
      </w:r>
      <w:r w:rsidRPr="708FC2E1" w:rsidR="06C1081E">
        <w:rPr>
          <w:rFonts w:eastAsiaTheme="minorEastAsia"/>
          <w:sz w:val="24"/>
          <w:szCs w:val="24"/>
        </w:rPr>
        <w:t>)</w:t>
      </w:r>
      <w:r w:rsidRPr="708FC2E1">
        <w:rPr>
          <w:rFonts w:eastAsiaTheme="minorEastAsia"/>
          <w:sz w:val="24"/>
          <w:szCs w:val="24"/>
        </w:rPr>
        <w:t xml:space="preserve"> unable to report.</w:t>
      </w:r>
    </w:p>
    <w:p w:rsidR="00290C90" w:rsidP="07EA80C5" w:rsidRDefault="2E224941" w14:paraId="7579BB91" w14:textId="5F8EED11">
      <w:pPr>
        <w:spacing w:after="0" w:line="300" w:lineRule="auto"/>
        <w:rPr>
          <w:rFonts w:eastAsiaTheme="minorEastAsia"/>
          <w:sz w:val="24"/>
          <w:szCs w:val="24"/>
        </w:rPr>
      </w:pPr>
      <w:r w:rsidRPr="07EA80C5">
        <w:rPr>
          <w:rFonts w:ascii="Segoe UI" w:hAnsi="Segoe UI" w:eastAsia="Segoe UI" w:cs="Segoe UI"/>
          <w:b/>
          <w:bCs/>
          <w:sz w:val="21"/>
          <w:szCs w:val="21"/>
        </w:rPr>
        <w:t xml:space="preserve">🔴 </w:t>
      </w:r>
      <w:r w:rsidRPr="07EA80C5" w:rsidR="05C12C3D">
        <w:rPr>
          <w:rFonts w:eastAsiaTheme="minorEastAsia"/>
          <w:b/>
          <w:bCs/>
          <w:sz w:val="24"/>
          <w:szCs w:val="24"/>
        </w:rPr>
        <w:t>NOT ACCEPTED</w:t>
      </w:r>
      <w:r w:rsidRPr="07EA80C5">
        <w:rPr>
          <w:rFonts w:eastAsiaTheme="minorEastAsia"/>
          <w:b/>
          <w:bCs/>
          <w:sz w:val="24"/>
          <w:szCs w:val="24"/>
        </w:rPr>
        <w:t>:</w:t>
      </w:r>
      <w:r w:rsidRPr="07EA80C5">
        <w:rPr>
          <w:rFonts w:eastAsiaTheme="minorEastAsia"/>
          <w:sz w:val="24"/>
          <w:szCs w:val="24"/>
        </w:rPr>
        <w:t xml:space="preserve"> </w:t>
      </w:r>
      <w:r w:rsidRPr="07EA80C5" w:rsidR="0D5488D6">
        <w:rPr>
          <w:rFonts w:eastAsiaTheme="minorEastAsia"/>
          <w:sz w:val="24"/>
          <w:szCs w:val="24"/>
        </w:rPr>
        <w:t xml:space="preserve">Fewer than 3 reported measures with a valid numerator + denominator </w:t>
      </w:r>
      <w:r w:rsidRPr="07EA80C5" w:rsidR="0D5488D6">
        <w:rPr>
          <w:rFonts w:eastAsiaTheme="minorEastAsia"/>
          <w:b/>
          <w:bCs/>
          <w:sz w:val="24"/>
          <w:szCs w:val="24"/>
        </w:rPr>
        <w:t xml:space="preserve">OR </w:t>
      </w:r>
      <w:r w:rsidRPr="07EA80C5" w:rsidR="0D5488D6">
        <w:rPr>
          <w:rFonts w:eastAsiaTheme="minorEastAsia"/>
          <w:sz w:val="24"/>
          <w:szCs w:val="24"/>
        </w:rPr>
        <w:t>Missing reporting period</w:t>
      </w:r>
      <w:r w:rsidRPr="07EA80C5" w:rsidR="61E321C4">
        <w:rPr>
          <w:rFonts w:eastAsiaTheme="minorEastAsia"/>
          <w:sz w:val="24"/>
          <w:szCs w:val="24"/>
        </w:rPr>
        <w:t xml:space="preserve"> </w:t>
      </w:r>
      <w:r w:rsidRPr="07EA80C5" w:rsidR="61E321C4">
        <w:rPr>
          <w:rFonts w:eastAsiaTheme="minorEastAsia"/>
          <w:b/>
          <w:bCs/>
          <w:sz w:val="24"/>
          <w:szCs w:val="24"/>
        </w:rPr>
        <w:t>OR</w:t>
      </w:r>
      <w:r w:rsidRPr="07EA80C5" w:rsidR="61E321C4">
        <w:rPr>
          <w:rFonts w:eastAsiaTheme="minorEastAsia"/>
          <w:sz w:val="24"/>
          <w:szCs w:val="24"/>
        </w:rPr>
        <w:t xml:space="preserve"> missing or invalid, non-specific justification for unable to report.</w:t>
      </w:r>
    </w:p>
    <w:p w:rsidR="00290C90" w:rsidP="708FC2E1" w:rsidRDefault="263F122B" w14:paraId="4A2379CC" w14:textId="556DD092">
      <w:pPr>
        <w:pStyle w:val="Heading3"/>
        <w:rPr>
          <w:rFonts w:ascii="Aptos" w:hAnsi="Aptos" w:eastAsiaTheme="minorEastAsia"/>
          <w:b/>
          <w:bCs/>
          <w:sz w:val="24"/>
          <w:szCs w:val="24"/>
        </w:rPr>
      </w:pPr>
      <w:r w:rsidRPr="708FC2E1">
        <w:rPr>
          <w:b/>
          <w:bCs/>
        </w:rPr>
        <w:t>1A – Behavioral Health Screening Report</w:t>
      </w:r>
    </w:p>
    <w:p w:rsidR="00290C90" w:rsidP="708FC2E1" w:rsidRDefault="263F122B" w14:paraId="3CB04C3D" w14:textId="34D09480">
      <w:pPr>
        <w:spacing w:beforeAutospacing="1" w:afterAutospacing="1" w:line="240" w:lineRule="auto"/>
        <w:outlineLvl w:val="2"/>
        <w:rPr>
          <w:rFonts w:ascii="Aptos" w:hAnsi="Aptos" w:eastAsiaTheme="minorEastAsia"/>
          <w:sz w:val="24"/>
          <w:szCs w:val="24"/>
        </w:rPr>
      </w:pPr>
      <w:r w:rsidRPr="708FC2E1">
        <w:rPr>
          <w:rFonts w:ascii="Aptos" w:hAnsi="Aptos" w:eastAsiaTheme="minorEastAsia"/>
          <w:sz w:val="24"/>
          <w:szCs w:val="24"/>
        </w:rPr>
        <w:t>Report behavioral health outcomes related to total population screened, percent of positive screens linked to services, and percent of linked patients with closed-loop referrals.</w:t>
      </w:r>
    </w:p>
    <w:p w:rsidR="00290C90" w:rsidP="708FC2E1" w:rsidRDefault="00290C90" w14:paraId="22C160F3" w14:textId="05250E7C">
      <w:pPr>
        <w:spacing w:beforeAutospacing="1" w:afterAutospacing="1" w:line="240" w:lineRule="auto"/>
        <w:outlineLvl w:val="2"/>
        <w:rPr>
          <w:rFonts w:ascii="Aptos" w:hAnsi="Aptos" w:eastAsiaTheme="minorEastAsia"/>
          <w:sz w:val="24"/>
          <w:szCs w:val="24"/>
        </w:rPr>
      </w:pPr>
    </w:p>
    <w:tbl>
      <w:tblPr>
        <w:tblStyle w:val="TableGrid"/>
        <w:tblW w:w="13068" w:type="dxa"/>
        <w:tblLook w:val="04A0" w:firstRow="1" w:lastRow="0" w:firstColumn="1" w:lastColumn="0" w:noHBand="0" w:noVBand="1"/>
      </w:tblPr>
      <w:tblGrid>
        <w:gridCol w:w="3240"/>
        <w:gridCol w:w="9828"/>
      </w:tblGrid>
      <w:tr w:rsidR="708FC2E1" w:rsidTr="07EA80C5" w14:paraId="1D31A4EE" w14:textId="77777777">
        <w:trPr>
          <w:trHeight w:val="638"/>
        </w:trPr>
        <w:tc>
          <w:tcPr>
            <w:tcW w:w="3240" w:type="dxa"/>
          </w:tcPr>
          <w:p w:rsidR="708FC2E1" w:rsidP="708FC2E1" w:rsidRDefault="708FC2E1" w14:paraId="06E180F8" w14:textId="707109E6">
            <w:pPr>
              <w:rPr>
                <w:rFonts w:ascii="Aptos" w:hAnsi="Aptos" w:eastAsiaTheme="minorEastAsia"/>
                <w:b/>
                <w:bCs/>
                <w:sz w:val="24"/>
                <w:szCs w:val="24"/>
              </w:rPr>
            </w:pPr>
            <w:r w:rsidRPr="708FC2E1">
              <w:rPr>
                <w:rFonts w:ascii="Aptos" w:hAnsi="Aptos" w:eastAsiaTheme="minorEastAsia"/>
                <w:b/>
                <w:bCs/>
                <w:sz w:val="24"/>
                <w:szCs w:val="24"/>
              </w:rPr>
              <w:t>Component</w:t>
            </w:r>
          </w:p>
        </w:tc>
        <w:tc>
          <w:tcPr>
            <w:tcW w:w="9828" w:type="dxa"/>
          </w:tcPr>
          <w:p w:rsidR="708FC2E1" w:rsidP="708FC2E1" w:rsidRDefault="708FC2E1" w14:paraId="5A723F30" w14:textId="2C6F7F9D">
            <w:pPr>
              <w:rPr>
                <w:rFonts w:ascii="Aptos" w:hAnsi="Aptos" w:eastAsiaTheme="minorEastAsia"/>
                <w:b/>
                <w:bCs/>
                <w:sz w:val="24"/>
                <w:szCs w:val="24"/>
              </w:rPr>
            </w:pPr>
            <w:r w:rsidRPr="708FC2E1">
              <w:rPr>
                <w:rFonts w:ascii="Aptos" w:hAnsi="Aptos" w:eastAsiaTheme="minorEastAsia"/>
                <w:b/>
                <w:bCs/>
                <w:sz w:val="24"/>
                <w:szCs w:val="24"/>
              </w:rPr>
              <w:t>Criterion</w:t>
            </w:r>
          </w:p>
        </w:tc>
      </w:tr>
      <w:tr w:rsidR="708FC2E1" w:rsidTr="07EA80C5" w14:paraId="4ADBE723" w14:textId="77777777">
        <w:trPr>
          <w:trHeight w:val="638"/>
        </w:trPr>
        <w:tc>
          <w:tcPr>
            <w:tcW w:w="3240" w:type="dxa"/>
          </w:tcPr>
          <w:p w:rsidR="708FC2E1" w:rsidP="708FC2E1" w:rsidRDefault="708FC2E1" w14:paraId="4323E4AA" w14:textId="5BF182E6">
            <w:pPr>
              <w:rPr>
                <w:rFonts w:ascii="Aptos" w:hAnsi="Aptos" w:eastAsiaTheme="minorEastAsia"/>
                <w:b/>
                <w:bCs/>
                <w:sz w:val="24"/>
                <w:szCs w:val="24"/>
              </w:rPr>
            </w:pPr>
            <w:r w:rsidRPr="708FC2E1">
              <w:rPr>
                <w:rFonts w:ascii="Aptos" w:hAnsi="Aptos" w:eastAsiaTheme="minorEastAsia"/>
                <w:b/>
                <w:bCs/>
                <w:sz w:val="24"/>
                <w:szCs w:val="24"/>
              </w:rPr>
              <w:t xml:space="preserve">Percent of </w:t>
            </w:r>
            <w:proofErr w:type="spellStart"/>
            <w:r w:rsidRPr="708FC2E1">
              <w:rPr>
                <w:rFonts w:ascii="Aptos" w:hAnsi="Aptos" w:eastAsiaTheme="minorEastAsia"/>
                <w:b/>
                <w:bCs/>
                <w:sz w:val="24"/>
                <w:szCs w:val="24"/>
              </w:rPr>
              <w:t>PoF</w:t>
            </w:r>
            <w:proofErr w:type="spellEnd"/>
            <w:r w:rsidRPr="708FC2E1">
              <w:rPr>
                <w:rFonts w:ascii="Aptos" w:hAnsi="Aptos" w:eastAsiaTheme="minorEastAsia"/>
                <w:b/>
                <w:bCs/>
                <w:sz w:val="24"/>
                <w:szCs w:val="24"/>
              </w:rPr>
              <w:t xml:space="preserve"> Screened with PHQ-2/PHQ-9</w:t>
            </w:r>
          </w:p>
          <w:p w:rsidR="708FC2E1" w:rsidP="708FC2E1" w:rsidRDefault="708FC2E1" w14:paraId="04E9881B" w14:textId="35EB5737">
            <w:pPr>
              <w:spacing w:beforeAutospacing="1" w:afterAutospacing="1"/>
              <w:rPr>
                <w:rFonts w:ascii="Aptos" w:hAnsi="Aptos" w:eastAsiaTheme="minorEastAsia"/>
                <w:sz w:val="24"/>
                <w:szCs w:val="24"/>
              </w:rPr>
            </w:pPr>
          </w:p>
        </w:tc>
        <w:tc>
          <w:tcPr>
            <w:tcW w:w="9828" w:type="dxa"/>
          </w:tcPr>
          <w:p w:rsidR="708FC2E1" w:rsidP="708FC2E1" w:rsidRDefault="708FC2E1" w14:paraId="19282A05" w14:textId="22F76DF8">
            <w:r>
              <w:rPr>
                <w:noProof/>
              </w:rPr>
              <mc:AlternateContent>
                <mc:Choice Requires="wps">
                  <w:drawing>
                    <wp:inline distT="0" distB="0" distL="0" distR="0" wp14:anchorId="15E78C77" wp14:editId="164FAAE4">
                      <wp:extent cx="141556" cy="135620"/>
                      <wp:effectExtent l="0" t="0" r="0" b="0"/>
                      <wp:docPr id="138563965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Numerator: # screened with PHQ-2/PHQ-9 (including patients who decline to complete a screen</w:t>
            </w:r>
          </w:p>
          <w:p w:rsidR="708FC2E1" w:rsidP="708FC2E1" w:rsidRDefault="708FC2E1" w14:paraId="29AD5271" w14:textId="25FC3AF1">
            <w:r>
              <w:rPr>
                <w:noProof/>
              </w:rPr>
              <mc:AlternateContent>
                <mc:Choice Requires="wps">
                  <w:drawing>
                    <wp:inline distT="0" distB="0" distL="0" distR="0" wp14:anchorId="184C5636" wp14:editId="10AD75CE">
                      <wp:extent cx="141556" cy="135620"/>
                      <wp:effectExtent l="0" t="0" r="0" b="0"/>
                      <wp:docPr id="189849650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Denominator: Total # of </w:t>
            </w:r>
            <w:proofErr w:type="spellStart"/>
            <w:r>
              <w:t>PoF</w:t>
            </w:r>
            <w:proofErr w:type="spellEnd"/>
            <w:r>
              <w:t xml:space="preserve"> patients with ≥1 visit during the measurement period</w:t>
            </w:r>
          </w:p>
          <w:p w:rsidR="708FC2E1" w:rsidP="708FC2E1" w:rsidRDefault="708FC2E1" w14:paraId="0187950F" w14:textId="53888280"/>
        </w:tc>
      </w:tr>
      <w:tr w:rsidR="708FC2E1" w:rsidTr="07EA80C5" w14:paraId="3E8CE483" w14:textId="77777777">
        <w:trPr>
          <w:trHeight w:val="638"/>
        </w:trPr>
        <w:tc>
          <w:tcPr>
            <w:tcW w:w="3240" w:type="dxa"/>
          </w:tcPr>
          <w:p w:rsidR="708FC2E1" w:rsidP="708FC2E1" w:rsidRDefault="708FC2E1" w14:paraId="1384E5DC" w14:textId="4593AA59">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Percent of Positive Screens Linked to Services (e.g., received an intervention, referral, or follow up action</w:t>
            </w:r>
          </w:p>
        </w:tc>
        <w:tc>
          <w:tcPr>
            <w:tcW w:w="9828" w:type="dxa"/>
          </w:tcPr>
          <w:p w:rsidR="708FC2E1" w:rsidP="708FC2E1" w:rsidRDefault="708FC2E1" w14:paraId="40D8040C" w14:textId="5CC5E9E2">
            <w:r>
              <w:rPr>
                <w:noProof/>
              </w:rPr>
              <mc:AlternateContent>
                <mc:Choice Requires="wps">
                  <w:drawing>
                    <wp:inline distT="0" distB="0" distL="0" distR="0" wp14:anchorId="155DA96F" wp14:editId="2F4B3BBE">
                      <wp:extent cx="141556" cy="135620"/>
                      <wp:effectExtent l="0" t="0" r="0" b="0"/>
                      <wp:docPr id="190125192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Numerator: # of positive </w:t>
            </w:r>
            <w:hyperlink w:history="1" w:anchor="_Positive_Screens_linked">
              <w:r w:rsidRPr="708FC2E1">
                <w:rPr>
                  <w:rStyle w:val="Hyperlink"/>
                </w:rPr>
                <w:t>screens linked to services*</w:t>
              </w:r>
            </w:hyperlink>
            <w:r>
              <w:t>(See appendix for definition)</w:t>
            </w:r>
          </w:p>
          <w:p w:rsidR="708FC2E1" w:rsidP="708FC2E1" w:rsidRDefault="708FC2E1" w14:paraId="7E8A12D7" w14:textId="0884CBFE">
            <w:r>
              <w:rPr>
                <w:noProof/>
              </w:rPr>
              <mc:AlternateContent>
                <mc:Choice Requires="wps">
                  <w:drawing>
                    <wp:inline distT="0" distB="0" distL="0" distR="0" wp14:anchorId="285505CA" wp14:editId="5C06771A">
                      <wp:extent cx="141556" cy="135620"/>
                      <wp:effectExtent l="0" t="0" r="0" b="0"/>
                      <wp:docPr id="103468008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Denominator: Total # of positive PHQ-2/PHQ-9 screens</w:t>
            </w:r>
          </w:p>
        </w:tc>
      </w:tr>
      <w:tr w:rsidR="708FC2E1" w:rsidTr="07EA80C5" w14:paraId="53BEF110" w14:textId="77777777">
        <w:trPr>
          <w:trHeight w:val="638"/>
        </w:trPr>
        <w:tc>
          <w:tcPr>
            <w:tcW w:w="3240" w:type="dxa"/>
          </w:tcPr>
          <w:p w:rsidR="708FC2E1" w:rsidP="708FC2E1" w:rsidRDefault="708FC2E1" w14:paraId="639BB020" w14:textId="269E0C1F">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Percent of linked patients with closed loop referral</w:t>
            </w:r>
          </w:p>
          <w:p w:rsidR="708FC2E1" w:rsidP="708FC2E1" w:rsidRDefault="708FC2E1" w14:paraId="63B81746" w14:textId="02873A76">
            <w:pPr>
              <w:rPr>
                <w:rFonts w:ascii="Aptos" w:hAnsi="Aptos" w:eastAsiaTheme="minorEastAsia"/>
                <w:b/>
                <w:bCs/>
                <w:sz w:val="24"/>
                <w:szCs w:val="24"/>
              </w:rPr>
            </w:pPr>
          </w:p>
        </w:tc>
        <w:tc>
          <w:tcPr>
            <w:tcW w:w="9828" w:type="dxa"/>
          </w:tcPr>
          <w:p w:rsidR="708FC2E1" w:rsidP="708FC2E1" w:rsidRDefault="708FC2E1" w14:paraId="05D2AEB9" w14:textId="3BA58AB8">
            <w:r>
              <w:rPr>
                <w:noProof/>
              </w:rPr>
              <mc:AlternateContent>
                <mc:Choice Requires="wps">
                  <w:drawing>
                    <wp:inline distT="0" distB="0" distL="0" distR="0" wp14:anchorId="4E759BB7" wp14:editId="44D1617D">
                      <wp:extent cx="141556" cy="135620"/>
                      <wp:effectExtent l="0" t="0" r="0" b="0"/>
                      <wp:docPr id="211497799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Numerator: # of referrals with confirmed completion with </w:t>
            </w:r>
            <w:hyperlink w:history="1" w:anchor="_Closed_Loop_Linkage">
              <w:r w:rsidRPr="708FC2E1">
                <w:rPr>
                  <w:rStyle w:val="Hyperlink"/>
                </w:rPr>
                <w:t>closed loop linkage</w:t>
              </w:r>
            </w:hyperlink>
            <w:r>
              <w:t xml:space="preserve"> outcome value </w:t>
            </w:r>
            <w:proofErr w:type="gramStart"/>
            <w:r>
              <w:t>noted.*</w:t>
            </w:r>
            <w:proofErr w:type="gramEnd"/>
            <w:r>
              <w:t xml:space="preserve"> (See appendix for definition)  </w:t>
            </w:r>
          </w:p>
          <w:p w:rsidR="708FC2E1" w:rsidP="708FC2E1" w:rsidRDefault="061CC79C" w14:paraId="466D1BD6" w14:textId="44860E0B">
            <w:r>
              <w:rPr>
                <w:noProof/>
              </w:rPr>
              <mc:AlternateContent>
                <mc:Choice Requires="wps">
                  <w:drawing>
                    <wp:inline distT="0" distB="0" distL="0" distR="0" wp14:anchorId="5C59C5DF" wp14:editId="66428F98">
                      <wp:extent cx="141556" cy="135620"/>
                      <wp:effectExtent l="0" t="0" r="0" b="0"/>
                      <wp:docPr id="130336184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t xml:space="preserve"> Denominator: Total # of referrals for depression follow-up</w:t>
            </w:r>
          </w:p>
        </w:tc>
      </w:tr>
      <w:tr w:rsidR="708FC2E1" w:rsidTr="07EA80C5" w14:paraId="3D8FAFA7" w14:textId="77777777">
        <w:trPr>
          <w:trHeight w:val="638"/>
        </w:trPr>
        <w:tc>
          <w:tcPr>
            <w:tcW w:w="3240" w:type="dxa"/>
          </w:tcPr>
          <w:p w:rsidR="708FC2E1" w:rsidP="708FC2E1" w:rsidRDefault="708FC2E1" w14:paraId="7771B272" w14:textId="154A06F5">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Reporting Period</w:t>
            </w:r>
          </w:p>
        </w:tc>
        <w:tc>
          <w:tcPr>
            <w:tcW w:w="9828" w:type="dxa"/>
          </w:tcPr>
          <w:p w:rsidR="708FC2E1" w:rsidP="708FC2E1" w:rsidRDefault="061CC79C" w14:paraId="580FBD5D" w14:textId="72B805B8">
            <w:r>
              <w:rPr>
                <w:noProof/>
              </w:rPr>
              <mc:AlternateContent>
                <mc:Choice Requires="wps">
                  <w:drawing>
                    <wp:inline distT="0" distB="0" distL="0" distR="0" wp14:anchorId="40972C12" wp14:editId="6B986ECC">
                      <wp:extent cx="141556" cy="135620"/>
                      <wp:effectExtent l="0" t="0" r="0" b="0"/>
                      <wp:docPr id="67751741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t xml:space="preserve">  Response should indicate a </w:t>
            </w:r>
            <w:proofErr w:type="gramStart"/>
            <w:r>
              <w:t>6</w:t>
            </w:r>
            <w:r w:rsidR="1EC22687">
              <w:t xml:space="preserve"> or </w:t>
            </w:r>
            <w:r>
              <w:t>12 month</w:t>
            </w:r>
            <w:proofErr w:type="gramEnd"/>
            <w:r>
              <w:t xml:space="preserve"> period that does not overlap with the baseline period.</w:t>
            </w:r>
          </w:p>
        </w:tc>
      </w:tr>
      <w:tr w:rsidR="708FC2E1" w:rsidTr="07EA80C5" w14:paraId="2DA57681" w14:textId="77777777">
        <w:trPr>
          <w:trHeight w:val="638"/>
        </w:trPr>
        <w:tc>
          <w:tcPr>
            <w:tcW w:w="3240" w:type="dxa"/>
          </w:tcPr>
          <w:p w:rsidR="708FC2E1" w:rsidP="708FC2E1" w:rsidRDefault="708FC2E1" w14:paraId="681D6F73" w14:textId="3A84F5F5">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 xml:space="preserve">Screening Rate </w:t>
            </w:r>
          </w:p>
        </w:tc>
        <w:tc>
          <w:tcPr>
            <w:tcW w:w="9828" w:type="dxa"/>
          </w:tcPr>
          <w:p w:rsidR="708FC2E1" w:rsidP="708FC2E1" w:rsidRDefault="708FC2E1" w14:paraId="665D07D2" w14:textId="62C7BDBB">
            <w:r>
              <w:t>Auto-Populated</w:t>
            </w:r>
          </w:p>
        </w:tc>
      </w:tr>
      <w:tr w:rsidR="708FC2E1" w:rsidTr="07EA80C5" w14:paraId="69D46C41" w14:textId="77777777">
        <w:trPr>
          <w:trHeight w:val="638"/>
        </w:trPr>
        <w:tc>
          <w:tcPr>
            <w:tcW w:w="3240" w:type="dxa"/>
          </w:tcPr>
          <w:p w:rsidR="708FC2E1" w:rsidP="708FC2E1" w:rsidRDefault="708FC2E1" w14:paraId="104A4F53" w14:textId="4218DDFE">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Frequency of Review</w:t>
            </w:r>
          </w:p>
        </w:tc>
        <w:tc>
          <w:tcPr>
            <w:tcW w:w="9828" w:type="dxa"/>
          </w:tcPr>
          <w:p w:rsidR="708FC2E1" w:rsidP="708FC2E1" w:rsidRDefault="061CC79C" w14:paraId="333343E0" w14:textId="02AC0653">
            <w:r>
              <w:rPr>
                <w:noProof/>
              </w:rPr>
              <mc:AlternateContent>
                <mc:Choice Requires="wps">
                  <w:drawing>
                    <wp:inline distT="0" distB="0" distL="0" distR="0" wp14:anchorId="4A0F63ED" wp14:editId="4F0D06AD">
                      <wp:extent cx="141556" cy="135620"/>
                      <wp:effectExtent l="0" t="0" r="0" b="0"/>
                      <wp:docPr id="176775199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t xml:space="preserve"> Response must include frequency of review (</w:t>
            </w:r>
            <w:r w:rsidR="137EB97F">
              <w:t>e.g.</w:t>
            </w:r>
            <w:r>
              <w:t xml:space="preserve"> Monthly, Quarterly, Biannually, Annually, </w:t>
            </w:r>
            <w:r w:rsidR="2533BCFF">
              <w:t>etc.</w:t>
            </w:r>
            <w:r>
              <w:t>)</w:t>
            </w:r>
          </w:p>
        </w:tc>
      </w:tr>
      <w:tr w:rsidR="708FC2E1" w:rsidTr="07EA80C5" w14:paraId="400F226A" w14:textId="77777777">
        <w:trPr>
          <w:trHeight w:val="638"/>
        </w:trPr>
        <w:tc>
          <w:tcPr>
            <w:tcW w:w="3240" w:type="dxa"/>
          </w:tcPr>
          <w:p w:rsidR="3165FBB8" w:rsidP="708FC2E1" w:rsidRDefault="0990B334" w14:paraId="12A4BCBC" w14:textId="3EDD711D">
            <w:pPr>
              <w:rPr>
                <w:rFonts w:ascii="Calibri" w:hAnsi="Calibri" w:eastAsia="Calibri" w:cs="Calibri"/>
                <w:b/>
                <w:bCs/>
                <w:color w:val="000000" w:themeColor="text1"/>
                <w:sz w:val="24"/>
                <w:szCs w:val="24"/>
              </w:rPr>
            </w:pPr>
            <w:r w:rsidRPr="07EA80C5">
              <w:rPr>
                <w:rFonts w:ascii="Calibri" w:hAnsi="Calibri" w:eastAsia="Calibri" w:cs="Calibri"/>
                <w:b/>
                <w:bCs/>
                <w:color w:val="000000" w:themeColor="text1"/>
                <w:sz w:val="24"/>
                <w:szCs w:val="24"/>
              </w:rPr>
              <w:t>Unable to Report (If applicable</w:t>
            </w:r>
            <w:r w:rsidRPr="07EA80C5" w:rsidR="2F167918">
              <w:rPr>
                <w:rFonts w:ascii="Calibri" w:hAnsi="Calibri" w:eastAsia="Calibri" w:cs="Calibri"/>
                <w:b/>
                <w:bCs/>
                <w:color w:val="000000" w:themeColor="text1"/>
                <w:sz w:val="24"/>
                <w:szCs w:val="24"/>
              </w:rPr>
              <w:t xml:space="preserve"> to any measure above</w:t>
            </w:r>
            <w:r w:rsidRPr="07EA80C5">
              <w:rPr>
                <w:rFonts w:ascii="Calibri" w:hAnsi="Calibri" w:eastAsia="Calibri" w:cs="Calibri"/>
                <w:b/>
                <w:bCs/>
                <w:color w:val="000000" w:themeColor="text1"/>
                <w:sz w:val="24"/>
                <w:szCs w:val="24"/>
              </w:rPr>
              <w:t>)</w:t>
            </w:r>
          </w:p>
        </w:tc>
        <w:tc>
          <w:tcPr>
            <w:tcW w:w="9828" w:type="dxa"/>
          </w:tcPr>
          <w:p w:rsidR="3165FBB8" w:rsidP="708FC2E1" w:rsidRDefault="3165FBB8" w14:paraId="29C90EB5" w14:textId="7D0B0407">
            <w:r>
              <w:rPr>
                <w:noProof/>
              </w:rPr>
              <mc:AlternateContent>
                <mc:Choice Requires="wps">
                  <w:drawing>
                    <wp:inline distT="0" distB="0" distL="0" distR="0" wp14:anchorId="2B2D9DE2" wp14:editId="3DBEBD56">
                      <wp:extent cx="141556" cy="135620"/>
                      <wp:effectExtent l="0" t="0" r="0" b="0"/>
                      <wp:docPr id="46983788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Reason and description of gaps/barriers in reporting the measure</w:t>
            </w:r>
          </w:p>
          <w:p w:rsidR="3165FBB8" w:rsidP="708FC2E1" w:rsidRDefault="3165FBB8" w14:paraId="7A116C09" w14:textId="053CDE5F">
            <w:r>
              <w:rPr>
                <w:noProof/>
              </w:rPr>
              <mc:AlternateContent>
                <mc:Choice Requires="wps">
                  <w:drawing>
                    <wp:inline distT="0" distB="0" distL="0" distR="0" wp14:anchorId="2002B432" wp14:editId="1ADA1E35">
                      <wp:extent cx="141556" cy="135620"/>
                      <wp:effectExtent l="0" t="0" r="0" b="0"/>
                      <wp:docPr id="204560700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Justification appears </w:t>
            </w:r>
            <w:r w:rsidR="04D30287">
              <w:t xml:space="preserve">to be a </w:t>
            </w:r>
            <w:r>
              <w:t>reasonable</w:t>
            </w:r>
            <w:r w:rsidR="21C58CA9">
              <w:t xml:space="preserve"> limitation preventing metric reporting.</w:t>
            </w:r>
            <w:r>
              <w:t xml:space="preserve"> </w:t>
            </w:r>
          </w:p>
          <w:p w:rsidR="708FC2E1" w:rsidP="708FC2E1" w:rsidRDefault="708FC2E1" w14:paraId="2B2EC749" w14:textId="2BC6EF3E"/>
        </w:tc>
      </w:tr>
    </w:tbl>
    <w:p w:rsidR="07EA80C5" w:rsidRDefault="07EA80C5" w14:paraId="69E2558B" w14:textId="571591A1"/>
    <w:p w:rsidR="00290C90" w:rsidP="708FC2E1" w:rsidRDefault="00290C90" w14:paraId="4E52E6DD" w14:textId="46275230"/>
    <w:p w:rsidR="00290C90" w:rsidP="708FC2E1" w:rsidRDefault="263F122B" w14:paraId="19AED94E" w14:textId="78A3E0C4">
      <w:pPr>
        <w:pStyle w:val="Heading3"/>
        <w:rPr>
          <w:rFonts w:ascii="Aptos" w:hAnsi="Aptos" w:eastAsiaTheme="minorEastAsia"/>
          <w:b/>
          <w:bCs/>
          <w:sz w:val="24"/>
          <w:szCs w:val="24"/>
        </w:rPr>
      </w:pPr>
      <w:r w:rsidRPr="708FC2E1">
        <w:rPr>
          <w:b/>
          <w:bCs/>
        </w:rPr>
        <w:t xml:space="preserve">1B – SUD Screening </w:t>
      </w:r>
      <w:commentRangeStart w:id="4"/>
      <w:r w:rsidRPr="708FC2E1">
        <w:rPr>
          <w:b/>
          <w:bCs/>
        </w:rPr>
        <w:t>Report</w:t>
      </w:r>
      <w:commentRangeEnd w:id="4"/>
      <w:r w:rsidR="00290C90">
        <w:rPr>
          <w:rStyle w:val="CommentReference"/>
          <w:rFonts w:ascii="Aptos" w:hAnsi="Aptos" w:eastAsiaTheme="minorEastAsia"/>
          <w:b/>
          <w:bCs/>
          <w:sz w:val="24"/>
          <w:szCs w:val="24"/>
        </w:rPr>
        <w:commentReference w:id="4"/>
      </w:r>
    </w:p>
    <w:p w:rsidR="00290C90" w:rsidP="708FC2E1" w:rsidRDefault="263F122B" w14:paraId="6F3F6ECD" w14:textId="7F5B8A14">
      <w:pPr>
        <w:spacing w:beforeAutospacing="1" w:afterAutospacing="1" w:line="240" w:lineRule="auto"/>
        <w:outlineLvl w:val="2"/>
        <w:rPr>
          <w:rFonts w:ascii="Aptos" w:hAnsi="Aptos" w:eastAsiaTheme="minorEastAsia"/>
          <w:sz w:val="24"/>
          <w:szCs w:val="24"/>
        </w:rPr>
      </w:pPr>
      <w:r w:rsidRPr="708FC2E1">
        <w:rPr>
          <w:rFonts w:ascii="Aptos" w:hAnsi="Aptos" w:eastAsiaTheme="minorEastAsia"/>
          <w:sz w:val="24"/>
          <w:szCs w:val="24"/>
        </w:rPr>
        <w:t>Report SUD outcomes related to total population screened, percent of positive screens linked to services, and percent of linked patients with closed-loop referrals.</w:t>
      </w:r>
    </w:p>
    <w:p w:rsidR="00290C90" w:rsidP="708FC2E1" w:rsidRDefault="00290C90" w14:paraId="06FC6179" w14:textId="01C17F52">
      <w:pPr>
        <w:spacing w:beforeAutospacing="1" w:afterAutospacing="1" w:line="240" w:lineRule="auto"/>
        <w:outlineLvl w:val="2"/>
        <w:rPr>
          <w:rFonts w:ascii="Aptos" w:hAnsi="Aptos" w:eastAsiaTheme="minorEastAsia"/>
          <w:sz w:val="24"/>
          <w:szCs w:val="24"/>
        </w:rPr>
      </w:pPr>
    </w:p>
    <w:tbl>
      <w:tblPr>
        <w:tblStyle w:val="TableGrid"/>
        <w:tblW w:w="13068" w:type="dxa"/>
        <w:tblLook w:val="04A0" w:firstRow="1" w:lastRow="0" w:firstColumn="1" w:lastColumn="0" w:noHBand="0" w:noVBand="1"/>
      </w:tblPr>
      <w:tblGrid>
        <w:gridCol w:w="3240"/>
        <w:gridCol w:w="9828"/>
      </w:tblGrid>
      <w:tr w:rsidR="708FC2E1" w:rsidTr="07EA80C5" w14:paraId="3E069FF1" w14:textId="77777777">
        <w:trPr>
          <w:trHeight w:val="638"/>
        </w:trPr>
        <w:tc>
          <w:tcPr>
            <w:tcW w:w="3240" w:type="dxa"/>
          </w:tcPr>
          <w:p w:rsidR="708FC2E1" w:rsidP="708FC2E1" w:rsidRDefault="708FC2E1" w14:paraId="7F47D658" w14:textId="707109E6">
            <w:pPr>
              <w:rPr>
                <w:rFonts w:ascii="Aptos" w:hAnsi="Aptos" w:eastAsiaTheme="minorEastAsia"/>
                <w:b/>
                <w:bCs/>
                <w:sz w:val="24"/>
                <w:szCs w:val="24"/>
              </w:rPr>
            </w:pPr>
            <w:r w:rsidRPr="708FC2E1">
              <w:rPr>
                <w:rFonts w:ascii="Aptos" w:hAnsi="Aptos" w:eastAsiaTheme="minorEastAsia"/>
                <w:b/>
                <w:bCs/>
                <w:sz w:val="24"/>
                <w:szCs w:val="24"/>
              </w:rPr>
              <w:t>Component</w:t>
            </w:r>
          </w:p>
        </w:tc>
        <w:tc>
          <w:tcPr>
            <w:tcW w:w="9828" w:type="dxa"/>
          </w:tcPr>
          <w:p w:rsidR="708FC2E1" w:rsidP="708FC2E1" w:rsidRDefault="708FC2E1" w14:paraId="79543FC2" w14:textId="2C6F7F9D">
            <w:pPr>
              <w:rPr>
                <w:rFonts w:ascii="Aptos" w:hAnsi="Aptos" w:eastAsiaTheme="minorEastAsia"/>
                <w:b/>
                <w:bCs/>
                <w:sz w:val="24"/>
                <w:szCs w:val="24"/>
              </w:rPr>
            </w:pPr>
            <w:r w:rsidRPr="708FC2E1">
              <w:rPr>
                <w:rFonts w:ascii="Aptos" w:hAnsi="Aptos" w:eastAsiaTheme="minorEastAsia"/>
                <w:b/>
                <w:bCs/>
                <w:sz w:val="24"/>
                <w:szCs w:val="24"/>
              </w:rPr>
              <w:t>Criterion</w:t>
            </w:r>
          </w:p>
        </w:tc>
      </w:tr>
      <w:tr w:rsidR="708FC2E1" w:rsidTr="07EA80C5" w14:paraId="178FFC3E" w14:textId="77777777">
        <w:trPr>
          <w:trHeight w:val="638"/>
        </w:trPr>
        <w:tc>
          <w:tcPr>
            <w:tcW w:w="3240" w:type="dxa"/>
          </w:tcPr>
          <w:p w:rsidR="708FC2E1" w:rsidP="708FC2E1" w:rsidRDefault="708FC2E1" w14:paraId="30FB17E2" w14:textId="63F30868">
            <w:pPr>
              <w:rPr>
                <w:rFonts w:ascii="Aptos" w:hAnsi="Aptos" w:eastAsiaTheme="minorEastAsia"/>
                <w:b/>
                <w:bCs/>
                <w:sz w:val="24"/>
                <w:szCs w:val="24"/>
              </w:rPr>
            </w:pPr>
            <w:r w:rsidRPr="708FC2E1">
              <w:rPr>
                <w:rFonts w:ascii="Aptos" w:hAnsi="Aptos" w:eastAsiaTheme="minorEastAsia"/>
                <w:b/>
                <w:bCs/>
                <w:sz w:val="24"/>
                <w:szCs w:val="24"/>
              </w:rPr>
              <w:t xml:space="preserve">Percent of </w:t>
            </w:r>
            <w:proofErr w:type="spellStart"/>
            <w:r w:rsidRPr="708FC2E1">
              <w:rPr>
                <w:rFonts w:ascii="Aptos" w:hAnsi="Aptos" w:eastAsiaTheme="minorEastAsia"/>
                <w:b/>
                <w:bCs/>
                <w:sz w:val="24"/>
                <w:szCs w:val="24"/>
              </w:rPr>
              <w:t>PoF</w:t>
            </w:r>
            <w:proofErr w:type="spellEnd"/>
            <w:r w:rsidRPr="708FC2E1">
              <w:rPr>
                <w:rFonts w:ascii="Aptos" w:hAnsi="Aptos" w:eastAsiaTheme="minorEastAsia"/>
                <w:b/>
                <w:bCs/>
                <w:sz w:val="24"/>
                <w:szCs w:val="24"/>
              </w:rPr>
              <w:t xml:space="preserve"> Screened for SUD</w:t>
            </w:r>
          </w:p>
          <w:p w:rsidR="708FC2E1" w:rsidP="708FC2E1" w:rsidRDefault="708FC2E1" w14:paraId="54E456D4" w14:textId="35EB5737">
            <w:pPr>
              <w:spacing w:beforeAutospacing="1" w:afterAutospacing="1"/>
              <w:rPr>
                <w:rFonts w:ascii="Aptos" w:hAnsi="Aptos" w:eastAsiaTheme="minorEastAsia"/>
                <w:sz w:val="24"/>
                <w:szCs w:val="24"/>
              </w:rPr>
            </w:pPr>
          </w:p>
        </w:tc>
        <w:tc>
          <w:tcPr>
            <w:tcW w:w="9828" w:type="dxa"/>
          </w:tcPr>
          <w:p w:rsidR="708FC2E1" w:rsidP="708FC2E1" w:rsidRDefault="708FC2E1" w14:paraId="5188970A" w14:textId="5FCDF119">
            <w:r>
              <w:rPr>
                <w:noProof/>
              </w:rPr>
              <mc:AlternateContent>
                <mc:Choice Requires="wps">
                  <w:drawing>
                    <wp:inline distT="0" distB="0" distL="0" distR="0" wp14:anchorId="0DA929CC" wp14:editId="642DC6E0">
                      <wp:extent cx="141556" cy="135620"/>
                      <wp:effectExtent l="0" t="0" r="0" b="0"/>
                      <wp:docPr id="29988724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Numerator: # screened with a validated SUD screening tool (including patients who decline to complete a screen</w:t>
            </w:r>
            <w:r w:rsidR="6AAF1F4E">
              <w:t>)</w:t>
            </w:r>
          </w:p>
          <w:p w:rsidR="708FC2E1" w:rsidP="708FC2E1" w:rsidRDefault="061CC79C" w14:paraId="611E0AE0" w14:textId="4BF16FB3">
            <w:r>
              <w:rPr>
                <w:noProof/>
              </w:rPr>
              <mc:AlternateContent>
                <mc:Choice Requires="wps">
                  <w:drawing>
                    <wp:inline distT="0" distB="0" distL="0" distR="0" wp14:anchorId="59E0C703" wp14:editId="2AFC0464">
                      <wp:extent cx="141556" cy="135620"/>
                      <wp:effectExtent l="0" t="0" r="0" b="0"/>
                      <wp:docPr id="9345385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t xml:space="preserve"> Denominator: Total # of </w:t>
            </w:r>
            <w:proofErr w:type="spellStart"/>
            <w:r>
              <w:t>PoF</w:t>
            </w:r>
            <w:proofErr w:type="spellEnd"/>
            <w:r>
              <w:t xml:space="preserve"> patients with ≥1 visit during the measurement period</w:t>
            </w:r>
          </w:p>
        </w:tc>
      </w:tr>
      <w:tr w:rsidR="708FC2E1" w:rsidTr="07EA80C5" w14:paraId="6883D61A" w14:textId="77777777">
        <w:trPr>
          <w:trHeight w:val="638"/>
        </w:trPr>
        <w:tc>
          <w:tcPr>
            <w:tcW w:w="3240" w:type="dxa"/>
          </w:tcPr>
          <w:p w:rsidR="708FC2E1" w:rsidP="708FC2E1" w:rsidRDefault="708FC2E1" w14:paraId="2926E78C" w14:textId="4593AA59">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Percent of Positive Screens Linked to Services (e.g., received an intervention, referral, or follow up action</w:t>
            </w:r>
          </w:p>
        </w:tc>
        <w:tc>
          <w:tcPr>
            <w:tcW w:w="9828" w:type="dxa"/>
          </w:tcPr>
          <w:p w:rsidR="708FC2E1" w:rsidP="708FC2E1" w:rsidRDefault="708FC2E1" w14:paraId="7D66E4A7" w14:textId="5CC5E9E2">
            <w:r>
              <w:rPr>
                <w:noProof/>
              </w:rPr>
              <mc:AlternateContent>
                <mc:Choice Requires="wps">
                  <w:drawing>
                    <wp:inline distT="0" distB="0" distL="0" distR="0" wp14:anchorId="029A02FB" wp14:editId="0A10676B">
                      <wp:extent cx="141556" cy="135620"/>
                      <wp:effectExtent l="0" t="0" r="0" b="0"/>
                      <wp:docPr id="145584670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Numerator: # of positive screens linked to services*</w:t>
            </w:r>
            <w:hyperlink w:history="1" w:anchor="_Positive_Screens_linked">
              <w:r w:rsidRPr="708FC2E1">
                <w:rPr>
                  <w:rStyle w:val="Hyperlink"/>
                </w:rPr>
                <w:t>(See appendix for definition)</w:t>
              </w:r>
            </w:hyperlink>
          </w:p>
          <w:p w:rsidR="708FC2E1" w:rsidP="708FC2E1" w:rsidRDefault="708FC2E1" w14:paraId="321D0066" w14:textId="5ED45854">
            <w:r>
              <w:rPr>
                <w:noProof/>
              </w:rPr>
              <mc:AlternateContent>
                <mc:Choice Requires="wps">
                  <w:drawing>
                    <wp:inline distT="0" distB="0" distL="0" distR="0" wp14:anchorId="0593BB6B" wp14:editId="0B132A46">
                      <wp:extent cx="141556" cy="135620"/>
                      <wp:effectExtent l="0" t="0" r="0" b="0"/>
                      <wp:docPr id="143055646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Denominator: Total # of positive SUD screens</w:t>
            </w:r>
          </w:p>
        </w:tc>
      </w:tr>
      <w:tr w:rsidR="708FC2E1" w:rsidTr="07EA80C5" w14:paraId="7619BF33" w14:textId="77777777">
        <w:trPr>
          <w:trHeight w:val="638"/>
        </w:trPr>
        <w:tc>
          <w:tcPr>
            <w:tcW w:w="3240" w:type="dxa"/>
          </w:tcPr>
          <w:p w:rsidR="708FC2E1" w:rsidP="708FC2E1" w:rsidRDefault="708FC2E1" w14:paraId="077C54AA" w14:textId="269E0C1F">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Percent of linked patients with closed loop referral</w:t>
            </w:r>
          </w:p>
          <w:p w:rsidR="708FC2E1" w:rsidP="708FC2E1" w:rsidRDefault="708FC2E1" w14:paraId="4AC2683B" w14:textId="02873A76">
            <w:pPr>
              <w:rPr>
                <w:rFonts w:ascii="Aptos" w:hAnsi="Aptos" w:eastAsiaTheme="minorEastAsia"/>
                <w:b/>
                <w:bCs/>
                <w:sz w:val="24"/>
                <w:szCs w:val="24"/>
              </w:rPr>
            </w:pPr>
          </w:p>
        </w:tc>
        <w:tc>
          <w:tcPr>
            <w:tcW w:w="9828" w:type="dxa"/>
          </w:tcPr>
          <w:p w:rsidR="708FC2E1" w:rsidP="708FC2E1" w:rsidRDefault="708FC2E1" w14:paraId="333917FB" w14:textId="3BA58AB8">
            <w:r>
              <w:rPr>
                <w:noProof/>
              </w:rPr>
              <mc:AlternateContent>
                <mc:Choice Requires="wps">
                  <w:drawing>
                    <wp:inline distT="0" distB="0" distL="0" distR="0" wp14:anchorId="082A89A6" wp14:editId="1A87B2BA">
                      <wp:extent cx="141556" cy="135620"/>
                      <wp:effectExtent l="0" t="0" r="0" b="0"/>
                      <wp:docPr id="73031288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Numerator: # of referrals with confirmed completion with closed loop linkage outcome value </w:t>
            </w:r>
            <w:proofErr w:type="gramStart"/>
            <w:r>
              <w:t>noted.*</w:t>
            </w:r>
            <w:proofErr w:type="gramEnd"/>
            <w:r>
              <w:t xml:space="preserve"> </w:t>
            </w:r>
            <w:hyperlink w:history="1" w:anchor="_Closed_Loop_Linkage">
              <w:r w:rsidRPr="708FC2E1">
                <w:rPr>
                  <w:rStyle w:val="Hyperlink"/>
                </w:rPr>
                <w:t>(See appendix for definition)</w:t>
              </w:r>
            </w:hyperlink>
            <w:r>
              <w:t xml:space="preserve">  </w:t>
            </w:r>
          </w:p>
          <w:p w:rsidR="708FC2E1" w:rsidP="708FC2E1" w:rsidRDefault="708FC2E1" w14:paraId="51BFF418" w14:textId="610FDF57">
            <w:r>
              <w:rPr>
                <w:noProof/>
              </w:rPr>
              <mc:AlternateContent>
                <mc:Choice Requires="wps">
                  <w:drawing>
                    <wp:inline distT="0" distB="0" distL="0" distR="0" wp14:anchorId="53463D39" wp14:editId="1B618BE4">
                      <wp:extent cx="141556" cy="135620"/>
                      <wp:effectExtent l="0" t="0" r="0" b="0"/>
                      <wp:docPr id="116648846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Denominator: Total # of referrals for depression follow-up</w:t>
            </w:r>
          </w:p>
          <w:p w:rsidR="708FC2E1" w:rsidP="708FC2E1" w:rsidRDefault="708FC2E1" w14:paraId="11E11DBA" w14:textId="370B68F4"/>
        </w:tc>
      </w:tr>
      <w:tr w:rsidR="708FC2E1" w:rsidTr="07EA80C5" w14:paraId="0940338E" w14:textId="77777777">
        <w:trPr>
          <w:trHeight w:val="638"/>
        </w:trPr>
        <w:tc>
          <w:tcPr>
            <w:tcW w:w="3240" w:type="dxa"/>
          </w:tcPr>
          <w:p w:rsidR="708FC2E1" w:rsidP="708FC2E1" w:rsidRDefault="708FC2E1" w14:paraId="7F0E159C" w14:textId="154A06F5">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Reporting Period</w:t>
            </w:r>
          </w:p>
        </w:tc>
        <w:tc>
          <w:tcPr>
            <w:tcW w:w="9828" w:type="dxa"/>
          </w:tcPr>
          <w:p w:rsidR="708FC2E1" w:rsidP="708FC2E1" w:rsidRDefault="708FC2E1" w14:paraId="0650643C" w14:textId="5304305E">
            <w:r>
              <w:rPr>
                <w:noProof/>
              </w:rPr>
              <mc:AlternateContent>
                <mc:Choice Requires="wps">
                  <w:drawing>
                    <wp:inline distT="0" distB="0" distL="0" distR="0" wp14:anchorId="3E6BC31F" wp14:editId="4E0450EE">
                      <wp:extent cx="141556" cy="135620"/>
                      <wp:effectExtent l="0" t="0" r="0" b="0"/>
                      <wp:docPr id="188082747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Response should indicate a </w:t>
            </w:r>
            <w:proofErr w:type="gramStart"/>
            <w:r>
              <w:t>6</w:t>
            </w:r>
            <w:r w:rsidR="0378AE98">
              <w:t xml:space="preserve"> or </w:t>
            </w:r>
            <w:r>
              <w:t>12 month</w:t>
            </w:r>
            <w:proofErr w:type="gramEnd"/>
            <w:r>
              <w:t xml:space="preserve"> period that does not overlap with the baseline period.</w:t>
            </w:r>
          </w:p>
          <w:p w:rsidR="708FC2E1" w:rsidP="708FC2E1" w:rsidRDefault="708FC2E1" w14:paraId="6412C136" w14:textId="2ADD83C6"/>
        </w:tc>
      </w:tr>
      <w:tr w:rsidR="708FC2E1" w:rsidTr="07EA80C5" w14:paraId="334980D1" w14:textId="77777777">
        <w:trPr>
          <w:trHeight w:val="638"/>
        </w:trPr>
        <w:tc>
          <w:tcPr>
            <w:tcW w:w="3240" w:type="dxa"/>
          </w:tcPr>
          <w:p w:rsidR="708FC2E1" w:rsidP="708FC2E1" w:rsidRDefault="708FC2E1" w14:paraId="18E8A6EA" w14:textId="3A84F5F5">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 xml:space="preserve">Screening Rate </w:t>
            </w:r>
          </w:p>
        </w:tc>
        <w:tc>
          <w:tcPr>
            <w:tcW w:w="9828" w:type="dxa"/>
          </w:tcPr>
          <w:p w:rsidR="708FC2E1" w:rsidP="708FC2E1" w:rsidRDefault="708FC2E1" w14:paraId="55BEDD49" w14:textId="62C7BDBB">
            <w:r>
              <w:t>Auto-Populated</w:t>
            </w:r>
          </w:p>
        </w:tc>
      </w:tr>
      <w:tr w:rsidR="708FC2E1" w:rsidTr="07EA80C5" w14:paraId="7776B85D" w14:textId="77777777">
        <w:trPr>
          <w:trHeight w:val="638"/>
        </w:trPr>
        <w:tc>
          <w:tcPr>
            <w:tcW w:w="3240" w:type="dxa"/>
          </w:tcPr>
          <w:p w:rsidR="708FC2E1" w:rsidP="708FC2E1" w:rsidRDefault="708FC2E1" w14:paraId="301A2A8A" w14:textId="4218DDFE">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Frequency of Review</w:t>
            </w:r>
          </w:p>
        </w:tc>
        <w:tc>
          <w:tcPr>
            <w:tcW w:w="9828" w:type="dxa"/>
          </w:tcPr>
          <w:p w:rsidR="708FC2E1" w:rsidP="708FC2E1" w:rsidRDefault="708FC2E1" w14:paraId="5FCE939B" w14:textId="6D8F0C9F">
            <w:r>
              <w:rPr>
                <w:noProof/>
              </w:rPr>
              <mc:AlternateContent>
                <mc:Choice Requires="wps">
                  <w:drawing>
                    <wp:inline distT="0" distB="0" distL="0" distR="0" wp14:anchorId="56E2A5DC" wp14:editId="2C8DFF6E">
                      <wp:extent cx="141556" cy="135620"/>
                      <wp:effectExtent l="0" t="0" r="0" b="0"/>
                      <wp:docPr id="25003263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Response must include frequency of review (</w:t>
            </w:r>
            <w:proofErr w:type="spellStart"/>
            <w:r>
              <w:t>eg</w:t>
            </w:r>
            <w:proofErr w:type="spellEnd"/>
            <w:r>
              <w:t xml:space="preserve"> Monthly, Quarterly, Biannually, Annually, </w:t>
            </w:r>
            <w:proofErr w:type="spellStart"/>
            <w:r>
              <w:t>etc</w:t>
            </w:r>
            <w:proofErr w:type="spellEnd"/>
            <w:r>
              <w:t>)</w:t>
            </w:r>
          </w:p>
          <w:p w:rsidR="708FC2E1" w:rsidP="708FC2E1" w:rsidRDefault="708FC2E1" w14:paraId="0D287ECD" w14:textId="7765AB36"/>
        </w:tc>
      </w:tr>
      <w:tr w:rsidR="708FC2E1" w:rsidTr="07EA80C5" w14:paraId="7A08E201" w14:textId="77777777">
        <w:trPr>
          <w:trHeight w:val="638"/>
        </w:trPr>
        <w:tc>
          <w:tcPr>
            <w:tcW w:w="3240" w:type="dxa"/>
          </w:tcPr>
          <w:p w:rsidR="708FC2E1" w:rsidP="708FC2E1" w:rsidRDefault="061CC79C" w14:paraId="34A3AC41" w14:textId="05361650">
            <w:pPr>
              <w:rPr>
                <w:rFonts w:ascii="Calibri" w:hAnsi="Calibri" w:eastAsia="Calibri" w:cs="Calibri"/>
                <w:b/>
                <w:bCs/>
                <w:color w:val="000000" w:themeColor="text1"/>
                <w:sz w:val="24"/>
                <w:szCs w:val="24"/>
              </w:rPr>
            </w:pPr>
            <w:r w:rsidRPr="07EA80C5">
              <w:rPr>
                <w:rFonts w:ascii="Calibri" w:hAnsi="Calibri" w:eastAsia="Calibri" w:cs="Calibri"/>
                <w:b/>
                <w:bCs/>
                <w:color w:val="000000" w:themeColor="text1"/>
                <w:sz w:val="24"/>
                <w:szCs w:val="24"/>
              </w:rPr>
              <w:t>Unable to Report (If applicable</w:t>
            </w:r>
            <w:r w:rsidRPr="07EA80C5" w:rsidR="49BCFBE5">
              <w:rPr>
                <w:rFonts w:ascii="Calibri" w:hAnsi="Calibri" w:eastAsia="Calibri" w:cs="Calibri"/>
                <w:b/>
                <w:bCs/>
                <w:color w:val="000000" w:themeColor="text1"/>
                <w:sz w:val="24"/>
                <w:szCs w:val="24"/>
              </w:rPr>
              <w:t xml:space="preserve"> to any measure above</w:t>
            </w:r>
            <w:r w:rsidRPr="07EA80C5">
              <w:rPr>
                <w:rFonts w:ascii="Calibri" w:hAnsi="Calibri" w:eastAsia="Calibri" w:cs="Calibri"/>
                <w:b/>
                <w:bCs/>
                <w:color w:val="000000" w:themeColor="text1"/>
                <w:sz w:val="24"/>
                <w:szCs w:val="24"/>
              </w:rPr>
              <w:t>)</w:t>
            </w:r>
          </w:p>
        </w:tc>
        <w:tc>
          <w:tcPr>
            <w:tcW w:w="9828" w:type="dxa"/>
          </w:tcPr>
          <w:p w:rsidR="708FC2E1" w:rsidP="708FC2E1" w:rsidRDefault="708FC2E1" w14:paraId="510FC06C" w14:textId="7D0B0407">
            <w:r>
              <w:rPr>
                <w:noProof/>
              </w:rPr>
              <mc:AlternateContent>
                <mc:Choice Requires="wps">
                  <w:drawing>
                    <wp:inline distT="0" distB="0" distL="0" distR="0" wp14:anchorId="092B1972" wp14:editId="1915B1E6">
                      <wp:extent cx="141556" cy="135620"/>
                      <wp:effectExtent l="0" t="0" r="0" b="0"/>
                      <wp:docPr id="161350350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Reason and description of gaps/barriers in reporting the measure</w:t>
            </w:r>
          </w:p>
          <w:p w:rsidR="708FC2E1" w:rsidP="708FC2E1" w:rsidRDefault="708FC2E1" w14:paraId="79F35EEB" w14:textId="053CDE5F">
            <w:r>
              <w:rPr>
                <w:noProof/>
              </w:rPr>
              <mc:AlternateContent>
                <mc:Choice Requires="wps">
                  <w:drawing>
                    <wp:inline distT="0" distB="0" distL="0" distR="0" wp14:anchorId="134B06C7" wp14:editId="1F3A62BE">
                      <wp:extent cx="141556" cy="135620"/>
                      <wp:effectExtent l="0" t="0" r="0" b="0"/>
                      <wp:docPr id="146017344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Justification appears to be a reasonable limitation preventing metric reporting. </w:t>
            </w:r>
          </w:p>
          <w:p w:rsidR="708FC2E1" w:rsidP="708FC2E1" w:rsidRDefault="708FC2E1" w14:paraId="1B3F3CAB" w14:textId="2BC6EF3E"/>
        </w:tc>
      </w:tr>
    </w:tbl>
    <w:p w:rsidR="07EA80C5" w:rsidRDefault="07EA80C5" w14:paraId="626F5A90" w14:textId="1FB00508"/>
    <w:p w:rsidR="00290C90" w:rsidP="708FC2E1" w:rsidRDefault="00290C90" w14:paraId="6B8A576F" w14:textId="5F5E0684">
      <w:pPr>
        <w:spacing w:beforeAutospacing="1" w:afterAutospacing="1" w:line="240" w:lineRule="auto"/>
        <w:outlineLvl w:val="2"/>
        <w:rPr>
          <w:rFonts w:ascii="Aptos" w:hAnsi="Aptos" w:eastAsiaTheme="minorEastAsia"/>
          <w:kern w:val="0"/>
          <w:sz w:val="24"/>
          <w:szCs w:val="24"/>
          <w14:ligatures w14:val="none"/>
        </w:rPr>
      </w:pPr>
    </w:p>
    <w:p w:rsidRPr="00B519B2" w:rsidR="00D739A7" w:rsidP="708FC2E1" w:rsidRDefault="00B519B2" w14:paraId="50F6B194" w14:textId="3F0FCC0E">
      <w:pPr>
        <w:pStyle w:val="Heading2"/>
        <w:rPr>
          <w:rFonts w:ascii="Aptos" w:hAnsi="Aptos" w:eastAsia="Aptos" w:cs="Aptos"/>
          <w:b/>
          <w:bCs/>
          <w:color w:val="000000" w:themeColor="text1"/>
          <w:sz w:val="24"/>
          <w:szCs w:val="24"/>
        </w:rPr>
      </w:pPr>
      <w:r w:rsidRPr="708FC2E1">
        <w:rPr>
          <w:b/>
          <w:bCs/>
        </w:rPr>
        <w:t xml:space="preserve">Question 2: </w:t>
      </w:r>
      <w:r w:rsidRPr="708FC2E1" w:rsidR="3F1D5784">
        <w:rPr>
          <w:b/>
          <w:bCs/>
        </w:rPr>
        <w:t>Depression</w:t>
      </w:r>
      <w:r w:rsidRPr="708FC2E1" w:rsidR="3A6870A7">
        <w:rPr>
          <w:b/>
          <w:bCs/>
        </w:rPr>
        <w:t>/SUD Workflow for Screening &amp; Closed Loop Referrals</w:t>
      </w:r>
    </w:p>
    <w:p w:rsidRPr="00B519B2" w:rsidR="00D739A7" w:rsidP="708FC2E1" w:rsidRDefault="4EB54FD6" w14:paraId="657F9946" w14:textId="3A1179FD">
      <w:pPr>
        <w:rPr>
          <w:rFonts w:ascii="Aptos" w:hAnsi="Aptos" w:eastAsia="Aptos" w:cs="Aptos"/>
          <w:color w:val="000000" w:themeColor="text1"/>
          <w:sz w:val="24"/>
          <w:szCs w:val="24"/>
        </w:rPr>
      </w:pPr>
      <w:r w:rsidRPr="708FC2E1">
        <w:rPr>
          <w:rStyle w:val="Heading3Char"/>
          <w:b/>
          <w:bCs/>
        </w:rPr>
        <w:t xml:space="preserve">2A. </w:t>
      </w:r>
      <w:r w:rsidRPr="708FC2E1" w:rsidR="15A7532D">
        <w:rPr>
          <w:rStyle w:val="Heading3Char"/>
          <w:b/>
          <w:bCs/>
        </w:rPr>
        <w:t>Depression</w:t>
      </w:r>
      <w:r w:rsidRPr="708FC2E1">
        <w:rPr>
          <w:rStyle w:val="Heading3Char"/>
          <w:b/>
          <w:bCs/>
        </w:rPr>
        <w:t xml:space="preserve"> </w:t>
      </w:r>
      <w:r w:rsidRPr="708FC2E1" w:rsidR="66F1DA57">
        <w:rPr>
          <w:rStyle w:val="Heading3Char"/>
          <w:b/>
          <w:bCs/>
        </w:rPr>
        <w:t>Screening &amp; Linkage</w:t>
      </w:r>
      <w:r w:rsidRPr="708FC2E1" w:rsidR="00B519B2">
        <w:rPr>
          <w:rStyle w:val="Heading3Char"/>
          <w:b/>
          <w:bCs/>
        </w:rPr>
        <w:t xml:space="preserve"> strategy: </w:t>
      </w:r>
    </w:p>
    <w:p w:rsidRPr="00B519B2" w:rsidR="00D739A7" w:rsidP="708FC2E1" w:rsidRDefault="7D02A0FD" w14:paraId="5F91C0ED" w14:textId="30B1F940">
      <w:pPr>
        <w:rPr>
          <w:b/>
          <w:bCs/>
          <w:color w:val="215E99" w:themeColor="text2" w:themeTint="BF"/>
          <w:sz w:val="28"/>
          <w:szCs w:val="28"/>
        </w:rPr>
      </w:pPr>
      <w:r w:rsidRPr="708FC2E1">
        <w:rPr>
          <w:b/>
          <w:bCs/>
          <w:color w:val="215E99" w:themeColor="text2" w:themeTint="BF"/>
          <w:sz w:val="28"/>
          <w:szCs w:val="28"/>
        </w:rPr>
        <w:t>What You Need to Do</w:t>
      </w:r>
    </w:p>
    <w:p w:rsidRPr="00B519B2" w:rsidR="00D739A7" w:rsidP="708FC2E1" w:rsidRDefault="7D02A0FD" w14:paraId="609AB861" w14:textId="4ED4DF8C">
      <w:pPr>
        <w:rPr>
          <w:rFonts w:eastAsiaTheme="minorEastAsia"/>
          <w:sz w:val="24"/>
          <w:szCs w:val="24"/>
        </w:rPr>
      </w:pPr>
      <w:r w:rsidRPr="708FC2E1">
        <w:rPr>
          <w:sz w:val="24"/>
          <w:szCs w:val="24"/>
        </w:rPr>
        <w:t xml:space="preserve">Describe your </w:t>
      </w:r>
      <w:r w:rsidRPr="708FC2E1">
        <w:rPr>
          <w:b/>
          <w:bCs/>
          <w:sz w:val="24"/>
          <w:szCs w:val="24"/>
        </w:rPr>
        <w:t>complete depression screening and response workflow</w:t>
      </w:r>
      <w:r w:rsidRPr="708FC2E1">
        <w:rPr>
          <w:sz w:val="24"/>
          <w:szCs w:val="24"/>
        </w:rPr>
        <w:t>, including roles, frequency, methods, triage, documentation, referral process, and training plan.</w:t>
      </w:r>
    </w:p>
    <w:p w:rsidR="005B6293" w:rsidP="005B6293" w:rsidRDefault="2B6E0389" w14:paraId="52AE82DA" w14:textId="2DBFD1D5">
      <w:pPr>
        <w:spacing w:after="0" w:line="300" w:lineRule="auto"/>
        <w:rPr>
          <w:rFonts w:ascii="Segoe UI" w:hAnsi="Segoe UI" w:eastAsia="Segoe UI" w:cs="Segoe UI"/>
          <w:sz w:val="21"/>
          <w:szCs w:val="21"/>
        </w:rPr>
      </w:pPr>
      <w:r w:rsidRPr="07EA80C5">
        <w:rPr>
          <w:rFonts w:ascii="Segoe UI" w:hAnsi="Segoe UI" w:eastAsia="Segoe UI" w:cs="Segoe UI"/>
          <w:b/>
          <w:bCs/>
          <w:sz w:val="21"/>
          <w:szCs w:val="21"/>
        </w:rPr>
        <w:t xml:space="preserve">🟢 </w:t>
      </w:r>
      <w:r w:rsidRPr="07EA80C5" w:rsidR="7C92FA60">
        <w:rPr>
          <w:rFonts w:eastAsiaTheme="minorEastAsia"/>
          <w:b/>
          <w:bCs/>
          <w:sz w:val="24"/>
          <w:szCs w:val="24"/>
        </w:rPr>
        <w:t>ACCEPTED</w:t>
      </w:r>
      <w:r w:rsidRPr="07EA80C5">
        <w:rPr>
          <w:rFonts w:eastAsiaTheme="minorEastAsia"/>
          <w:b/>
          <w:bCs/>
          <w:sz w:val="24"/>
          <w:szCs w:val="24"/>
        </w:rPr>
        <w:t>:</w:t>
      </w:r>
    </w:p>
    <w:p w:rsidRPr="005B6293" w:rsidR="00D739A7" w:rsidP="005B6293" w:rsidRDefault="08959141" w14:paraId="0CD12C75" w14:textId="7162A20C">
      <w:pPr>
        <w:spacing w:after="0" w:line="300" w:lineRule="auto"/>
        <w:rPr>
          <w:rFonts w:ascii="Segoe UI" w:hAnsi="Segoe UI" w:eastAsia="Segoe UI" w:cs="Segoe UI"/>
          <w:sz w:val="21"/>
          <w:szCs w:val="21"/>
        </w:rPr>
      </w:pPr>
      <w:r w:rsidRPr="07EA80C5">
        <w:rPr>
          <w:rFonts w:ascii="Aptos" w:hAnsi="Aptos" w:eastAsiaTheme="minorEastAsia"/>
          <w:sz w:val="24"/>
          <w:szCs w:val="24"/>
        </w:rPr>
        <w:t xml:space="preserve">The response </w:t>
      </w:r>
      <w:r w:rsidRPr="07EA80C5" w:rsidR="7775A184">
        <w:rPr>
          <w:rFonts w:ascii="Aptos" w:hAnsi="Aptos" w:eastAsiaTheme="minorEastAsia"/>
          <w:sz w:val="24"/>
          <w:szCs w:val="24"/>
        </w:rPr>
        <w:t xml:space="preserve">will be accepted </w:t>
      </w:r>
      <w:r w:rsidRPr="07EA80C5">
        <w:rPr>
          <w:rFonts w:ascii="Aptos" w:hAnsi="Aptos" w:eastAsiaTheme="minorEastAsia"/>
          <w:sz w:val="24"/>
          <w:szCs w:val="24"/>
        </w:rPr>
        <w:t xml:space="preserve">if </w:t>
      </w:r>
      <w:r w:rsidRPr="07EA80C5" w:rsidR="3E2C6CA3">
        <w:rPr>
          <w:rFonts w:ascii="Aptos" w:hAnsi="Aptos" w:eastAsiaTheme="minorEastAsia"/>
          <w:sz w:val="24"/>
          <w:szCs w:val="24"/>
        </w:rPr>
        <w:t xml:space="preserve">the workflow clearly defines roles/responsibilities, </w:t>
      </w:r>
      <w:r w:rsidRPr="07EA80C5" w:rsidR="4AD734B5">
        <w:rPr>
          <w:rFonts w:ascii="Aptos" w:hAnsi="Aptos" w:eastAsiaTheme="minorEastAsia"/>
          <w:sz w:val="24"/>
          <w:szCs w:val="24"/>
        </w:rPr>
        <w:t>demonstrates a practice-specific screening process, triage</w:t>
      </w:r>
      <w:r w:rsidRPr="07EA80C5" w:rsidR="48C55244">
        <w:rPr>
          <w:rFonts w:ascii="Aptos" w:hAnsi="Aptos" w:eastAsiaTheme="minorEastAsia"/>
          <w:sz w:val="24"/>
          <w:szCs w:val="24"/>
        </w:rPr>
        <w:t>/crisis</w:t>
      </w:r>
      <w:r w:rsidRPr="07EA80C5" w:rsidR="4AD734B5">
        <w:rPr>
          <w:rFonts w:ascii="Aptos" w:hAnsi="Aptos" w:eastAsiaTheme="minorEastAsia"/>
          <w:sz w:val="24"/>
          <w:szCs w:val="24"/>
        </w:rPr>
        <w:t xml:space="preserve"> protocol</w:t>
      </w:r>
      <w:r w:rsidRPr="07EA80C5" w:rsidR="07254E42">
        <w:rPr>
          <w:rFonts w:ascii="Aptos" w:hAnsi="Aptos" w:eastAsiaTheme="minorEastAsia"/>
          <w:sz w:val="24"/>
          <w:szCs w:val="24"/>
        </w:rPr>
        <w:t>, referral workflow and follow-up,</w:t>
      </w:r>
      <w:r w:rsidRPr="07EA80C5" w:rsidR="524597C1">
        <w:rPr>
          <w:rFonts w:ascii="Aptos" w:hAnsi="Aptos" w:eastAsiaTheme="minorEastAsia"/>
          <w:sz w:val="24"/>
          <w:szCs w:val="24"/>
        </w:rPr>
        <w:t xml:space="preserve"> staff training plan,</w:t>
      </w:r>
      <w:r w:rsidRPr="07EA80C5" w:rsidR="07254E42">
        <w:rPr>
          <w:rFonts w:ascii="Aptos" w:hAnsi="Aptos" w:eastAsiaTheme="minorEastAsia"/>
          <w:sz w:val="24"/>
          <w:szCs w:val="24"/>
        </w:rPr>
        <w:t xml:space="preserve"> and documentation</w:t>
      </w:r>
      <w:r w:rsidRPr="07EA80C5" w:rsidR="4AD734B5">
        <w:rPr>
          <w:rFonts w:ascii="Aptos" w:hAnsi="Aptos" w:eastAsiaTheme="minorEastAsia"/>
          <w:sz w:val="24"/>
          <w:szCs w:val="24"/>
        </w:rPr>
        <w:t xml:space="preserve"> </w:t>
      </w:r>
      <w:r w:rsidRPr="07EA80C5" w:rsidR="7F2591BF">
        <w:rPr>
          <w:rFonts w:ascii="Aptos" w:hAnsi="Aptos" w:eastAsiaTheme="minorEastAsia"/>
          <w:sz w:val="24"/>
          <w:szCs w:val="24"/>
        </w:rPr>
        <w:t>standards.</w:t>
      </w:r>
    </w:p>
    <w:p w:rsidRPr="00B519B2" w:rsidR="00D739A7" w:rsidP="708FC2E1" w:rsidRDefault="3403C48B" w14:paraId="65E0CD1C" w14:textId="59DE10F6">
      <w:pPr>
        <w:spacing w:beforeAutospacing="1" w:afterAutospacing="1"/>
        <w:rPr>
          <w:rFonts w:ascii="Aptos" w:hAnsi="Aptos" w:eastAsiaTheme="minorEastAsia"/>
          <w:sz w:val="24"/>
          <w:szCs w:val="24"/>
        </w:rPr>
      </w:pPr>
      <w:r w:rsidRPr="07EA80C5">
        <w:rPr>
          <w:rFonts w:ascii="Segoe UI" w:hAnsi="Segoe UI" w:eastAsia="Segoe UI" w:cs="Segoe UI"/>
          <w:b/>
          <w:bCs/>
          <w:sz w:val="21"/>
          <w:szCs w:val="21"/>
        </w:rPr>
        <w:t xml:space="preserve">🔴 </w:t>
      </w:r>
      <w:r w:rsidRPr="07EA80C5" w:rsidR="2B4E2FB2">
        <w:rPr>
          <w:rFonts w:ascii="Aptos" w:hAnsi="Aptos" w:eastAsiaTheme="minorEastAsia"/>
          <w:b/>
          <w:bCs/>
          <w:sz w:val="24"/>
          <w:szCs w:val="24"/>
        </w:rPr>
        <w:t>NOT ACCEPTED</w:t>
      </w:r>
      <w:r w:rsidRPr="07EA80C5" w:rsidR="08959141">
        <w:rPr>
          <w:rFonts w:ascii="Aptos" w:hAnsi="Aptos" w:eastAsiaTheme="minorEastAsia"/>
          <w:b/>
          <w:bCs/>
          <w:sz w:val="24"/>
          <w:szCs w:val="24"/>
        </w:rPr>
        <w:t>:</w:t>
      </w:r>
      <w:r w:rsidR="4EB54FD6">
        <w:br/>
      </w:r>
      <w:r w:rsidRPr="07EA80C5" w:rsidR="08959141">
        <w:rPr>
          <w:rFonts w:ascii="Aptos" w:hAnsi="Aptos" w:eastAsiaTheme="minorEastAsia"/>
          <w:sz w:val="24"/>
          <w:szCs w:val="24"/>
        </w:rPr>
        <w:t xml:space="preserve">The submission </w:t>
      </w:r>
      <w:r w:rsidRPr="07EA80C5" w:rsidR="644993BE">
        <w:rPr>
          <w:rFonts w:ascii="Aptos" w:hAnsi="Aptos" w:eastAsiaTheme="minorEastAsia"/>
          <w:sz w:val="24"/>
          <w:szCs w:val="24"/>
        </w:rPr>
        <w:t>will not be accepted</w:t>
      </w:r>
      <w:r w:rsidRPr="07EA80C5" w:rsidR="08959141">
        <w:rPr>
          <w:rFonts w:ascii="Aptos" w:hAnsi="Aptos" w:eastAsiaTheme="minorEastAsia"/>
          <w:sz w:val="24"/>
          <w:szCs w:val="24"/>
        </w:rPr>
        <w:t xml:space="preserve"> if 5 or fewer prompts </w:t>
      </w:r>
      <w:r w:rsidRPr="07EA80C5" w:rsidR="69F3B790">
        <w:rPr>
          <w:rFonts w:ascii="Aptos" w:hAnsi="Aptos" w:eastAsiaTheme="minorEastAsia"/>
          <w:sz w:val="24"/>
          <w:szCs w:val="24"/>
        </w:rPr>
        <w:t xml:space="preserve">do not </w:t>
      </w:r>
      <w:r w:rsidRPr="07EA80C5" w:rsidR="08959141">
        <w:rPr>
          <w:rFonts w:ascii="Aptos" w:hAnsi="Aptos" w:eastAsiaTheme="minorEastAsia"/>
          <w:sz w:val="24"/>
          <w:szCs w:val="24"/>
        </w:rPr>
        <w:t>meet</w:t>
      </w:r>
      <w:r w:rsidRPr="07EA80C5" w:rsidR="17269F39">
        <w:rPr>
          <w:rFonts w:ascii="Aptos" w:hAnsi="Aptos" w:eastAsiaTheme="minorEastAsia"/>
          <w:sz w:val="24"/>
          <w:szCs w:val="24"/>
        </w:rPr>
        <w:t xml:space="preserve"> the</w:t>
      </w:r>
      <w:r w:rsidRPr="07EA80C5" w:rsidR="08959141">
        <w:rPr>
          <w:rFonts w:ascii="Aptos" w:hAnsi="Aptos" w:eastAsiaTheme="minorEastAsia"/>
          <w:sz w:val="24"/>
          <w:szCs w:val="24"/>
        </w:rPr>
        <w:t xml:space="preserve"> criteria within each prompt </w:t>
      </w:r>
      <w:r w:rsidRPr="07EA80C5" w:rsidR="08959141">
        <w:rPr>
          <w:rFonts w:ascii="Aptos" w:hAnsi="Aptos" w:eastAsiaTheme="minorEastAsia"/>
          <w:b/>
          <w:bCs/>
          <w:sz w:val="24"/>
          <w:szCs w:val="24"/>
        </w:rPr>
        <w:t>AND/OR</w:t>
      </w:r>
      <w:r w:rsidRPr="07EA80C5" w:rsidR="08959141">
        <w:rPr>
          <w:rFonts w:ascii="Aptos" w:hAnsi="Aptos" w:eastAsiaTheme="minorEastAsia"/>
          <w:sz w:val="24"/>
          <w:szCs w:val="24"/>
        </w:rPr>
        <w:t xml:space="preserve"> if </w:t>
      </w:r>
      <w:r w:rsidRPr="07EA80C5" w:rsidR="027066A1">
        <w:rPr>
          <w:rFonts w:ascii="Aptos" w:hAnsi="Aptos" w:eastAsiaTheme="minorEastAsia"/>
          <w:sz w:val="24"/>
          <w:szCs w:val="24"/>
        </w:rPr>
        <w:t>key critical items are</w:t>
      </w:r>
      <w:r w:rsidRPr="07EA80C5" w:rsidR="08959141">
        <w:rPr>
          <w:rFonts w:ascii="Aptos" w:hAnsi="Aptos" w:eastAsiaTheme="minorEastAsia"/>
          <w:sz w:val="24"/>
          <w:szCs w:val="24"/>
        </w:rPr>
        <w:t xml:space="preserve"> </w:t>
      </w:r>
      <w:r w:rsidRPr="07EA80C5" w:rsidR="56463EB6">
        <w:rPr>
          <w:rFonts w:ascii="Aptos" w:hAnsi="Aptos" w:eastAsiaTheme="minorEastAsia"/>
          <w:sz w:val="24"/>
          <w:szCs w:val="24"/>
        </w:rPr>
        <w:t xml:space="preserve">missing or </w:t>
      </w:r>
      <w:r w:rsidRPr="07EA80C5" w:rsidR="472E6D9B">
        <w:rPr>
          <w:rFonts w:ascii="Aptos" w:hAnsi="Aptos" w:eastAsiaTheme="minorEastAsia"/>
          <w:sz w:val="24"/>
          <w:szCs w:val="24"/>
        </w:rPr>
        <w:t>are</w:t>
      </w:r>
      <w:r w:rsidRPr="07EA80C5" w:rsidR="56463EB6">
        <w:rPr>
          <w:rFonts w:ascii="Aptos" w:hAnsi="Aptos" w:eastAsiaTheme="minorEastAsia"/>
          <w:sz w:val="24"/>
          <w:szCs w:val="24"/>
        </w:rPr>
        <w:t xml:space="preserve"> not</w:t>
      </w:r>
      <w:r w:rsidRPr="07EA80C5" w:rsidR="08959141">
        <w:rPr>
          <w:rFonts w:ascii="Aptos" w:hAnsi="Aptos" w:eastAsiaTheme="minorEastAsia"/>
          <w:sz w:val="24"/>
          <w:szCs w:val="24"/>
        </w:rPr>
        <w:t xml:space="preserve"> </w:t>
      </w:r>
      <w:r w:rsidRPr="07EA80C5" w:rsidR="56463EB6">
        <w:rPr>
          <w:rFonts w:ascii="Aptos" w:hAnsi="Aptos" w:eastAsiaTheme="minorEastAsia"/>
          <w:sz w:val="24"/>
          <w:szCs w:val="24"/>
        </w:rPr>
        <w:t xml:space="preserve">clearly </w:t>
      </w:r>
      <w:r w:rsidRPr="07EA80C5" w:rsidR="08959141">
        <w:rPr>
          <w:rFonts w:ascii="Aptos" w:hAnsi="Aptos" w:eastAsiaTheme="minorEastAsia"/>
          <w:sz w:val="24"/>
          <w:szCs w:val="24"/>
        </w:rPr>
        <w:t xml:space="preserve">described (e.g. </w:t>
      </w:r>
      <w:r w:rsidRPr="07EA80C5" w:rsidR="656AAE72">
        <w:rPr>
          <w:rFonts w:ascii="Aptos" w:hAnsi="Aptos" w:eastAsiaTheme="minorEastAsia"/>
          <w:sz w:val="24"/>
          <w:szCs w:val="24"/>
        </w:rPr>
        <w:t xml:space="preserve">triage &amp; crisis escalation, suicide </w:t>
      </w:r>
      <w:r w:rsidRPr="07EA80C5" w:rsidR="5F8E4B92">
        <w:rPr>
          <w:rFonts w:ascii="Aptos" w:hAnsi="Aptos" w:eastAsiaTheme="minorEastAsia"/>
          <w:sz w:val="24"/>
          <w:szCs w:val="24"/>
        </w:rPr>
        <w:t>screening &amp; intervention, and referral process)</w:t>
      </w:r>
      <w:r w:rsidRPr="07EA80C5" w:rsidR="08959141">
        <w:rPr>
          <w:rFonts w:ascii="Aptos" w:hAnsi="Aptos" w:eastAsiaTheme="minorEastAsia"/>
          <w:sz w:val="24"/>
          <w:szCs w:val="24"/>
        </w:rPr>
        <w:t>.</w:t>
      </w:r>
    </w:p>
    <w:p w:rsidR="53547FDC" w:rsidP="346546F8" w:rsidRDefault="53547FDC" w14:paraId="2536D267" w14:textId="1D98FB1B">
      <w:pPr>
        <w:rPr>
          <w:rFonts w:ascii="Aptos" w:hAnsi="Aptos" w:eastAsia="Aptos" w:cs="Aptos"/>
          <w:color w:val="000000" w:themeColor="text1"/>
          <w:sz w:val="24"/>
          <w:szCs w:val="24"/>
        </w:rPr>
      </w:pPr>
    </w:p>
    <w:tbl>
      <w:tblPr>
        <w:tblStyle w:val="TableGrid"/>
        <w:tblW w:w="13068" w:type="dxa"/>
        <w:tblLook w:val="04A0" w:firstRow="1" w:lastRow="0" w:firstColumn="1" w:lastColumn="0" w:noHBand="0" w:noVBand="1"/>
      </w:tblPr>
      <w:tblGrid>
        <w:gridCol w:w="3240"/>
        <w:gridCol w:w="9828"/>
      </w:tblGrid>
      <w:tr w:rsidR="708FC2E1" w:rsidTr="76A10730" w14:paraId="752AE890" w14:textId="77777777">
        <w:trPr>
          <w:trHeight w:val="638"/>
        </w:trPr>
        <w:tc>
          <w:tcPr>
            <w:tcW w:w="3240" w:type="dxa"/>
            <w:tcMar/>
          </w:tcPr>
          <w:p w:rsidR="288E93B5" w:rsidP="708FC2E1" w:rsidRDefault="288E93B5" w14:paraId="487EF53B" w14:textId="0BC06158">
            <w:pPr>
              <w:rPr>
                <w:rFonts w:ascii="Aptos" w:hAnsi="Aptos" w:eastAsiaTheme="minorEastAsia"/>
                <w:b/>
                <w:bCs/>
                <w:sz w:val="24"/>
                <w:szCs w:val="24"/>
              </w:rPr>
            </w:pPr>
            <w:r w:rsidRPr="708FC2E1">
              <w:rPr>
                <w:rFonts w:ascii="Aptos" w:hAnsi="Aptos" w:eastAsiaTheme="minorEastAsia"/>
                <w:b/>
                <w:bCs/>
                <w:sz w:val="24"/>
                <w:szCs w:val="24"/>
              </w:rPr>
              <w:t xml:space="preserve">Required </w:t>
            </w:r>
            <w:r w:rsidRPr="708FC2E1" w:rsidR="545CDC7A">
              <w:rPr>
                <w:rFonts w:ascii="Aptos" w:hAnsi="Aptos" w:eastAsiaTheme="minorEastAsia"/>
                <w:b/>
                <w:bCs/>
                <w:sz w:val="24"/>
                <w:szCs w:val="24"/>
              </w:rPr>
              <w:t>Component</w:t>
            </w:r>
            <w:r w:rsidRPr="708FC2E1" w:rsidR="6B0948C7">
              <w:rPr>
                <w:rFonts w:ascii="Aptos" w:hAnsi="Aptos" w:eastAsiaTheme="minorEastAsia"/>
                <w:b/>
                <w:bCs/>
                <w:sz w:val="24"/>
                <w:szCs w:val="24"/>
              </w:rPr>
              <w:t>s</w:t>
            </w:r>
          </w:p>
        </w:tc>
        <w:tc>
          <w:tcPr>
            <w:tcW w:w="9828" w:type="dxa"/>
            <w:tcMar/>
          </w:tcPr>
          <w:p w:rsidR="545CDC7A" w:rsidP="708FC2E1" w:rsidRDefault="545CDC7A" w14:paraId="250B983D" w14:textId="2C6F7F9D">
            <w:pPr>
              <w:rPr>
                <w:rFonts w:ascii="Aptos" w:hAnsi="Aptos" w:eastAsiaTheme="minorEastAsia"/>
                <w:b/>
                <w:bCs/>
                <w:sz w:val="24"/>
                <w:szCs w:val="24"/>
              </w:rPr>
            </w:pPr>
            <w:r w:rsidRPr="708FC2E1">
              <w:rPr>
                <w:rFonts w:ascii="Aptos" w:hAnsi="Aptos" w:eastAsiaTheme="minorEastAsia"/>
                <w:b/>
                <w:bCs/>
                <w:sz w:val="24"/>
                <w:szCs w:val="24"/>
              </w:rPr>
              <w:t>Criterion</w:t>
            </w:r>
          </w:p>
        </w:tc>
      </w:tr>
      <w:tr w:rsidRPr="00495138" w:rsidR="00EE0336" w:rsidTr="76A10730" w14:paraId="50BD3DA0" w14:textId="77777777">
        <w:trPr>
          <w:trHeight w:val="638"/>
        </w:trPr>
        <w:tc>
          <w:tcPr>
            <w:tcW w:w="3240" w:type="dxa"/>
            <w:tcMar/>
          </w:tcPr>
          <w:p w:rsidRPr="00495138" w:rsidR="0511FAA6" w:rsidP="07EA80C5" w:rsidRDefault="2E0AF77A" w14:paraId="649F5CF0" w14:textId="35485E96">
            <w:pPr>
              <w:spacing w:before="100" w:beforeAutospacing="1" w:after="100" w:afterAutospacing="1"/>
              <w:rPr>
                <w:rFonts w:ascii="Aptos" w:hAnsi="Aptos" w:eastAsia="Aptos" w:cs="Aptos"/>
                <w:b/>
                <w:bCs/>
                <w:kern w:val="0"/>
                <w:sz w:val="24"/>
                <w:szCs w:val="24"/>
                <w14:ligatures w14:val="none"/>
              </w:rPr>
            </w:pPr>
            <w:r w:rsidRPr="07EA80C5">
              <w:rPr>
                <w:rFonts w:ascii="Aptos" w:hAnsi="Aptos" w:eastAsia="Aptos" w:cs="Aptos"/>
                <w:b/>
                <w:bCs/>
                <w:sz w:val="24"/>
                <w:szCs w:val="24"/>
              </w:rPr>
              <w:t xml:space="preserve">What staff role is responsible for conducting initial and follow up </w:t>
            </w:r>
          </w:p>
        </w:tc>
        <w:tc>
          <w:tcPr>
            <w:tcW w:w="9828" w:type="dxa"/>
            <w:tcMar/>
          </w:tcPr>
          <w:p w:rsidR="708FC2E1" w:rsidP="708FC2E1" w:rsidRDefault="708FC2E1" w14:paraId="72D0FB60" w14:textId="7A2A3292">
            <w:r>
              <w:rPr>
                <w:noProof/>
              </w:rPr>
              <mc:AlternateContent>
                <mc:Choice Requires="wps">
                  <w:drawing>
                    <wp:inline distT="0" distB="0" distL="0" distR="0" wp14:anchorId="602CF70D" wp14:editId="6ABDE578">
                      <wp:extent cx="141556" cy="135620"/>
                      <wp:effectExtent l="0" t="0" r="0" b="0"/>
                      <wp:docPr id="186142821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rsidR="4FF86B73">
              <w:t xml:space="preserve"> </w:t>
            </w:r>
            <w:r w:rsidR="4506181C">
              <w:t xml:space="preserve"> A</w:t>
            </w:r>
            <w:r w:rsidR="4FF86B73">
              <w:t xml:space="preserve"> specific role within the practice care team clearl</w:t>
            </w:r>
            <w:r w:rsidR="5309D510">
              <w:t>y named</w:t>
            </w:r>
            <w:r w:rsidR="4FF86B73">
              <w:t xml:space="preserve"> (e.g., Medical Assistant).</w:t>
            </w:r>
          </w:p>
        </w:tc>
      </w:tr>
      <w:tr w:rsidR="708FC2E1" w:rsidTr="76A10730" w14:paraId="1E05E42E" w14:textId="77777777">
        <w:trPr>
          <w:trHeight w:val="638"/>
        </w:trPr>
        <w:tc>
          <w:tcPr>
            <w:tcW w:w="3240" w:type="dxa"/>
            <w:tcMar/>
          </w:tcPr>
          <w:p w:rsidR="708FC2E1" w:rsidP="07EA80C5" w:rsidRDefault="0E89E55B" w14:paraId="2F79CD20" w14:textId="5674025B">
            <w:pPr>
              <w:spacing w:beforeAutospacing="1" w:afterAutospacing="1"/>
              <w:rPr>
                <w:rFonts w:ascii="Aptos" w:hAnsi="Aptos" w:eastAsia="Aptos" w:cs="Aptos"/>
                <w:b/>
                <w:bCs/>
                <w:sz w:val="24"/>
                <w:szCs w:val="24"/>
              </w:rPr>
            </w:pPr>
            <w:r w:rsidRPr="07EA80C5">
              <w:rPr>
                <w:rFonts w:ascii="Aptos" w:hAnsi="Aptos" w:eastAsia="Aptos" w:cs="Aptos"/>
                <w:b/>
                <w:bCs/>
                <w:sz w:val="24"/>
                <w:szCs w:val="24"/>
              </w:rPr>
              <w:t>How often is screening conducted?</w:t>
            </w:r>
          </w:p>
        </w:tc>
        <w:tc>
          <w:tcPr>
            <w:tcW w:w="9828" w:type="dxa"/>
            <w:tcMar/>
          </w:tcPr>
          <w:p w:rsidR="2BB5A37B" w:rsidP="708FC2E1" w:rsidRDefault="2BB5A37B" w14:paraId="51F94072" w14:textId="4E9F216F">
            <w:r>
              <w:rPr>
                <w:noProof/>
              </w:rPr>
              <mc:AlternateContent>
                <mc:Choice Requires="wps">
                  <w:drawing>
                    <wp:inline distT="0" distB="0" distL="0" distR="0" wp14:anchorId="4567CB4E" wp14:editId="75DB0B52">
                      <wp:extent cx="141556" cy="135620"/>
                      <wp:effectExtent l="0" t="0" r="0" b="0"/>
                      <wp:docPr id="143743470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A specific timeframe is defined for screening (e.g., every visit, annually, well visits, etc.)</w:t>
            </w:r>
          </w:p>
          <w:p w:rsidR="708FC2E1" w:rsidP="708FC2E1" w:rsidRDefault="708FC2E1" w14:paraId="24048CE9" w14:textId="3E21D7C7">
            <w:pPr>
              <w:rPr>
                <w:rFonts w:ascii="Aptos" w:hAnsi="Aptos" w:eastAsia="Aptos" w:cs="Aptos"/>
                <w:b/>
                <w:bCs/>
                <w:sz w:val="24"/>
                <w:szCs w:val="24"/>
              </w:rPr>
            </w:pPr>
          </w:p>
        </w:tc>
      </w:tr>
      <w:tr w:rsidR="708FC2E1" w:rsidTr="76A10730" w14:paraId="7AD00D35" w14:textId="77777777">
        <w:trPr>
          <w:trHeight w:val="638"/>
        </w:trPr>
        <w:tc>
          <w:tcPr>
            <w:tcW w:w="3240" w:type="dxa"/>
            <w:tcMar/>
          </w:tcPr>
          <w:p w:rsidR="6266552A" w:rsidP="708FC2E1" w:rsidRDefault="6266552A" w14:paraId="5F630840" w14:textId="42A7C0B2">
            <w:pPr>
              <w:rPr>
                <w:rFonts w:ascii="Aptos" w:hAnsi="Aptos" w:eastAsia="Aptos" w:cs="Aptos"/>
                <w:sz w:val="24"/>
                <w:szCs w:val="24"/>
              </w:rPr>
            </w:pPr>
            <w:r w:rsidRPr="708FC2E1">
              <w:rPr>
                <w:rFonts w:ascii="Aptos" w:hAnsi="Aptos" w:eastAsia="Aptos" w:cs="Aptos"/>
                <w:b/>
                <w:bCs/>
                <w:sz w:val="24"/>
                <w:szCs w:val="24"/>
              </w:rPr>
              <w:t>Administration Method?</w:t>
            </w:r>
          </w:p>
          <w:p w:rsidR="708FC2E1" w:rsidP="708FC2E1" w:rsidRDefault="708FC2E1" w14:paraId="61BFBF6D" w14:textId="77648E75">
            <w:pPr>
              <w:rPr>
                <w:rFonts w:ascii="Aptos" w:hAnsi="Aptos" w:eastAsia="Aptos" w:cs="Aptos"/>
                <w:b/>
                <w:bCs/>
                <w:sz w:val="24"/>
                <w:szCs w:val="24"/>
              </w:rPr>
            </w:pPr>
          </w:p>
        </w:tc>
        <w:tc>
          <w:tcPr>
            <w:tcW w:w="9828" w:type="dxa"/>
            <w:tcMar/>
          </w:tcPr>
          <w:p w:rsidR="708FC2E1" w:rsidP="708FC2E1" w:rsidRDefault="753044F0" w14:paraId="06C2A647" w14:textId="08E96702">
            <w:r>
              <w:rPr>
                <w:noProof/>
              </w:rPr>
              <mc:AlternateContent>
                <mc:Choice Requires="wps">
                  <w:drawing>
                    <wp:inline distT="0" distB="0" distL="0" distR="0" wp14:anchorId="0EED1576" wp14:editId="7C70FB4E">
                      <wp:extent cx="141556" cy="135620"/>
                      <wp:effectExtent l="0" t="0" r="0" b="0"/>
                      <wp:docPr id="175199557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rsidR="5CD2B81C">
              <w:t xml:space="preserve"> </w:t>
            </w:r>
            <w:r w:rsidR="2175617B">
              <w:t>I</w:t>
            </w:r>
            <w:r w:rsidR="5CD2B81C">
              <w:t>nclude</w:t>
            </w:r>
            <w:r w:rsidR="04E4ABD6">
              <w:t>s</w:t>
            </w:r>
            <w:r w:rsidR="5CD2B81C">
              <w:t xml:space="preserve"> how the screenings will be administered (e.g., EHR form, Patient Portal, Paper-based, Verbal, Tablet, etc.)  </w:t>
            </w:r>
          </w:p>
        </w:tc>
      </w:tr>
      <w:tr w:rsidR="708FC2E1" w:rsidTr="76A10730" w14:paraId="5AC42B3D" w14:textId="77777777">
        <w:trPr>
          <w:trHeight w:val="638"/>
        </w:trPr>
        <w:tc>
          <w:tcPr>
            <w:tcW w:w="3240" w:type="dxa"/>
            <w:tcMar/>
          </w:tcPr>
          <w:p w:rsidR="17B08C22" w:rsidP="708FC2E1" w:rsidRDefault="17B08C22" w14:paraId="2B8D27AD" w14:textId="3AA1FA89">
            <w:r w:rsidRPr="708FC2E1">
              <w:rPr>
                <w:rFonts w:ascii="Aptos" w:hAnsi="Aptos" w:eastAsia="Aptos" w:cs="Aptos"/>
                <w:b/>
                <w:bCs/>
                <w:sz w:val="24"/>
                <w:szCs w:val="24"/>
              </w:rPr>
              <w:t>Triage/Intervention Protocol(s)</w:t>
            </w:r>
            <w:r w:rsidRPr="708FC2E1">
              <w:rPr>
                <w:rFonts w:ascii="Aptos" w:hAnsi="Aptos" w:eastAsia="Aptos" w:cs="Aptos"/>
                <w:sz w:val="24"/>
                <w:szCs w:val="24"/>
              </w:rPr>
              <w:t xml:space="preserve">  </w:t>
            </w:r>
          </w:p>
          <w:p w:rsidR="5EB0D802" w:rsidP="76A10730" w:rsidRDefault="5EB0D802" w14:paraId="36031A4E" w14:textId="05C60A65">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5EB0D802">
              <w:rPr>
                <w:rFonts w:ascii="Aptos Display" w:hAnsi="Aptos Display" w:eastAsia="Aptos Display" w:cs="Aptos Display" w:asciiTheme="majorAscii" w:hAnsiTheme="majorAscii" w:eastAsiaTheme="majorAscii" w:cstheme="majorAscii"/>
                <w:sz w:val="24"/>
                <w:szCs w:val="24"/>
              </w:rPr>
              <w:t>Positive screen →</w:t>
            </w:r>
          </w:p>
          <w:p w:rsidR="5EB0D802" w:rsidP="76A10730" w:rsidRDefault="5EB0D802" w14:paraId="1881A29F" w14:textId="72863397">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5EB0D802">
              <w:rPr>
                <w:rFonts w:ascii="Aptos Display" w:hAnsi="Aptos Display" w:eastAsia="Aptos Display" w:cs="Aptos Display" w:asciiTheme="majorAscii" w:hAnsiTheme="majorAscii" w:eastAsiaTheme="majorAscii" w:cstheme="majorAscii"/>
                <w:sz w:val="24"/>
                <w:szCs w:val="24"/>
              </w:rPr>
              <w:t>Risk assessment →</w:t>
            </w:r>
          </w:p>
          <w:p w:rsidR="5EB0D802" w:rsidP="76A10730" w:rsidRDefault="5EB0D802" w14:paraId="2766FA40" w14:textId="10CECCCD">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5EB0D802">
              <w:rPr>
                <w:rFonts w:ascii="Aptos Display" w:hAnsi="Aptos Display" w:eastAsia="Aptos Display" w:cs="Aptos Display" w:asciiTheme="majorAscii" w:hAnsiTheme="majorAscii" w:eastAsiaTheme="majorAscii" w:cstheme="majorAscii"/>
                <w:sz w:val="24"/>
                <w:szCs w:val="24"/>
              </w:rPr>
              <w:t>Intervention →</w:t>
            </w:r>
          </w:p>
          <w:p w:rsidR="5EB0D802" w:rsidP="76A10730" w:rsidRDefault="5EB0D802" w14:paraId="75CC7B45" w14:textId="13AE808A">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5EB0D802">
              <w:rPr>
                <w:rFonts w:ascii="Aptos Display" w:hAnsi="Aptos Display" w:eastAsia="Aptos Display" w:cs="Aptos Display" w:asciiTheme="majorAscii" w:hAnsiTheme="majorAscii" w:eastAsiaTheme="majorAscii" w:cstheme="majorAscii"/>
                <w:sz w:val="24"/>
                <w:szCs w:val="24"/>
              </w:rPr>
              <w:t>Referral →</w:t>
            </w:r>
          </w:p>
          <w:p w:rsidR="708FC2E1" w:rsidP="76A10730" w:rsidRDefault="69178E96" w14:paraId="5DD2DC29" w14:textId="5B4F5458">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69178E96">
              <w:rPr>
                <w:rFonts w:ascii="Aptos Display" w:hAnsi="Aptos Display" w:eastAsia="Aptos Display" w:cs="Aptos Display" w:asciiTheme="majorAscii" w:hAnsiTheme="majorAscii" w:eastAsiaTheme="majorAscii" w:cstheme="majorAscii"/>
                <w:sz w:val="24"/>
                <w:szCs w:val="24"/>
              </w:rPr>
              <w:t>Closed-loop tracking</w:t>
            </w:r>
          </w:p>
        </w:tc>
        <w:tc>
          <w:tcPr>
            <w:tcW w:w="9828" w:type="dxa"/>
            <w:tcMar/>
          </w:tcPr>
          <w:p w:rsidR="17B08C22" w:rsidP="708FC2E1" w:rsidRDefault="17B08C22" w14:paraId="1E84F0E5" w14:textId="1F4C5CA6">
            <w:r>
              <w:rPr>
                <w:noProof/>
              </w:rPr>
              <mc:AlternateContent>
                <mc:Choice Requires="wps">
                  <w:drawing>
                    <wp:inline distT="0" distB="0" distL="0" distR="0" wp14:anchorId="66364826" wp14:editId="65C8CE64">
                      <wp:extent cx="141556" cy="135620"/>
                      <wp:effectExtent l="0" t="0" r="0" b="0"/>
                      <wp:docPr id="119412924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rsidR="2ED22C59">
              <w:t xml:space="preserve"> Practice uploaded or provided a brief description of protocol</w:t>
            </w:r>
          </w:p>
          <w:p w:rsidR="2ED22C59" w:rsidP="708FC2E1" w:rsidRDefault="2ED22C59" w14:paraId="498A50C8" w14:textId="4158F735">
            <w:r>
              <w:rPr>
                <w:noProof/>
              </w:rPr>
              <mc:AlternateContent>
                <mc:Choice Requires="wps">
                  <w:drawing>
                    <wp:inline distT="0" distB="0" distL="0" distR="0" wp14:anchorId="0CE89DD5" wp14:editId="15C884C4">
                      <wp:extent cx="141556" cy="135620"/>
                      <wp:effectExtent l="0" t="0" r="0" b="0"/>
                      <wp:docPr id="117686898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rsidR="50194CEC">
              <w:t xml:space="preserve"> </w:t>
            </w:r>
            <w:r>
              <w:t xml:space="preserve">Protocol clearly defines risk assessment workflow, specific interventions, </w:t>
            </w:r>
            <w:r w:rsidR="47053E80">
              <w:t>crisis escalation steps, and referral protocol.</w:t>
            </w:r>
          </w:p>
          <w:p w:rsidR="47053E80" w:rsidP="708FC2E1" w:rsidRDefault="47053E80" w14:paraId="6275312A" w14:textId="22925EE2">
            <w:r>
              <w:rPr>
                <w:noProof/>
              </w:rPr>
              <mc:AlternateContent>
                <mc:Choice Requires="wps">
                  <w:drawing>
                    <wp:inline distT="0" distB="0" distL="0" distR="0" wp14:anchorId="57AAB7DE" wp14:editId="3BCC25B7">
                      <wp:extent cx="141556" cy="135620"/>
                      <wp:effectExtent l="0" t="0" r="0" b="0"/>
                      <wp:docPr id="82913374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There is a clear workflow for a patient that endorses suicidal ideation and/or self-injurious behaviors that is assessed by a validated tool (e.g., Columb</w:t>
            </w:r>
            <w:r w:rsidR="646A2FD1">
              <w:t xml:space="preserve">ia Suicide Severity Rating Scale (C-SSRS), clinical interview or 988 </w:t>
            </w:r>
            <w:proofErr w:type="gramStart"/>
            <w:r w:rsidR="646A2FD1">
              <w:t>hand-off</w:t>
            </w:r>
            <w:proofErr w:type="gramEnd"/>
            <w:r w:rsidR="646A2FD1">
              <w:t>) &amp; follow up plan.</w:t>
            </w:r>
          </w:p>
          <w:p w:rsidR="78B68C36" w:rsidP="708FC2E1" w:rsidRDefault="78B68C36" w14:paraId="76B4FA53" w14:textId="10E416BD">
            <w:r>
              <w:rPr>
                <w:noProof/>
              </w:rPr>
              <mc:AlternateContent>
                <mc:Choice Requires="wps">
                  <w:drawing>
                    <wp:inline distT="0" distB="0" distL="0" distR="0" wp14:anchorId="43AD2A59" wp14:editId="56491BE9">
                      <wp:extent cx="141556" cy="135620"/>
                      <wp:effectExtent l="0" t="0" r="0" b="0"/>
                      <wp:docPr id="206272336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Cultural considerations are outlined in the protocol</w:t>
            </w:r>
          </w:p>
          <w:p w:rsidR="708FC2E1" w:rsidP="708FC2E1" w:rsidRDefault="708FC2E1" w14:paraId="772E65EE" w14:textId="0605AE0B"/>
        </w:tc>
      </w:tr>
      <w:tr w:rsidR="708FC2E1" w:rsidTr="76A10730" w14:paraId="012BCCD5" w14:textId="77777777">
        <w:trPr>
          <w:trHeight w:val="638"/>
        </w:trPr>
        <w:tc>
          <w:tcPr>
            <w:tcW w:w="3240" w:type="dxa"/>
            <w:tcMar/>
          </w:tcPr>
          <w:p w:rsidR="17B08C22" w:rsidP="708FC2E1" w:rsidRDefault="17B08C22" w14:paraId="12CC6AFF" w14:textId="38EB3FAD">
            <w:pPr>
              <w:rPr>
                <w:rFonts w:ascii="Aptos" w:hAnsi="Aptos" w:eastAsia="Aptos" w:cs="Aptos"/>
                <w:b/>
                <w:bCs/>
                <w:sz w:val="24"/>
                <w:szCs w:val="24"/>
              </w:rPr>
            </w:pPr>
            <w:r w:rsidRPr="708FC2E1">
              <w:rPr>
                <w:rFonts w:ascii="Aptos" w:hAnsi="Aptos" w:eastAsia="Aptos" w:cs="Aptos"/>
                <w:b/>
                <w:bCs/>
                <w:sz w:val="24"/>
                <w:szCs w:val="24"/>
              </w:rPr>
              <w:t>Screening Documentation &amp; Storage</w:t>
            </w:r>
          </w:p>
        </w:tc>
        <w:tc>
          <w:tcPr>
            <w:tcW w:w="9828" w:type="dxa"/>
            <w:tcMar/>
          </w:tcPr>
          <w:p w:rsidR="17B08C22" w:rsidP="07EA80C5" w:rsidRDefault="0CAE281A" w14:paraId="5B63AA51" w14:textId="5490E21D">
            <w:pPr>
              <w:rPr>
                <w:rFonts w:ascii="Aptos" w:hAnsi="Aptos" w:eastAsia="Aptos" w:cs="Aptos"/>
              </w:rPr>
            </w:pPr>
            <w:r>
              <w:rPr>
                <w:noProof/>
              </w:rPr>
              <mc:AlternateContent>
                <mc:Choice Requires="wps">
                  <w:drawing>
                    <wp:inline distT="0" distB="0" distL="0" distR="0" wp14:anchorId="5BFA86A6" wp14:editId="118185AC">
                      <wp:extent cx="141556" cy="135620"/>
                      <wp:effectExtent l="0" t="0" r="0" b="0"/>
                      <wp:docPr id="211157515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rsidR="15D8BEB4">
              <w:t xml:space="preserve"> I</w:t>
            </w:r>
            <w:r w:rsidRPr="07EA80C5" w:rsidR="15D8BEB4">
              <w:rPr>
                <w:rFonts w:ascii="Aptos" w:hAnsi="Aptos" w:eastAsia="Aptos" w:cs="Aptos"/>
              </w:rPr>
              <w:t>ndicates where the data will</w:t>
            </w:r>
            <w:r w:rsidRPr="07EA80C5" w:rsidR="4EFCB780">
              <w:rPr>
                <w:rFonts w:ascii="Aptos" w:hAnsi="Aptos" w:eastAsia="Aptos" w:cs="Aptos"/>
              </w:rPr>
              <w:t xml:space="preserve"> be </w:t>
            </w:r>
            <w:proofErr w:type="gramStart"/>
            <w:r w:rsidRPr="07EA80C5" w:rsidR="4EFCB780">
              <w:rPr>
                <w:rFonts w:ascii="Aptos" w:hAnsi="Aptos" w:eastAsia="Aptos" w:cs="Aptos"/>
              </w:rPr>
              <w:t xml:space="preserve">stored </w:t>
            </w:r>
            <w:r w:rsidRPr="07EA80C5" w:rsidR="43EBAB35">
              <w:rPr>
                <w:rFonts w:ascii="Aptos" w:hAnsi="Aptos" w:eastAsia="Aptos" w:cs="Aptos"/>
              </w:rPr>
              <w:t xml:space="preserve"> </w:t>
            </w:r>
            <w:r w:rsidRPr="07EA80C5" w:rsidR="3AA10777">
              <w:rPr>
                <w:rFonts w:ascii="Aptos" w:hAnsi="Aptos" w:eastAsia="Aptos" w:cs="Aptos"/>
              </w:rPr>
              <w:t>(</w:t>
            </w:r>
            <w:proofErr w:type="gramEnd"/>
            <w:r w:rsidRPr="07EA80C5" w:rsidR="15D8BEB4">
              <w:rPr>
                <w:rFonts w:ascii="Aptos" w:hAnsi="Aptos" w:eastAsia="Aptos" w:cs="Aptos"/>
              </w:rPr>
              <w:t>e.g., structured EHR fields, manual tracking, a population health platform, etc.</w:t>
            </w:r>
            <w:r w:rsidRPr="07EA80C5" w:rsidR="245680F0">
              <w:rPr>
                <w:rFonts w:ascii="Aptos" w:hAnsi="Aptos" w:eastAsia="Aptos" w:cs="Aptos"/>
              </w:rPr>
              <w:t>)</w:t>
            </w:r>
          </w:p>
          <w:p w:rsidR="252D17FB" w:rsidP="708FC2E1" w:rsidRDefault="6662883C" w14:paraId="4BF540AA" w14:textId="21702394">
            <w:pPr>
              <w:rPr>
                <w:rFonts w:ascii="Aptos" w:hAnsi="Aptos" w:eastAsia="Aptos" w:cs="Aptos"/>
              </w:rPr>
            </w:pPr>
            <w:r>
              <w:rPr>
                <w:noProof/>
              </w:rPr>
              <mc:AlternateContent>
                <mc:Choice Requires="wps">
                  <w:drawing>
                    <wp:inline distT="0" distB="0" distL="0" distR="0" wp14:anchorId="370298B9" wp14:editId="486935DA">
                      <wp:extent cx="141556" cy="135620"/>
                      <wp:effectExtent l="0" t="0" r="0" b="0"/>
                      <wp:docPr id="163568940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rsidRPr="07EA80C5">
              <w:rPr>
                <w:rFonts w:ascii="Aptos" w:hAnsi="Aptos" w:eastAsia="Aptos" w:cs="Aptos"/>
              </w:rPr>
              <w:t xml:space="preserve"> </w:t>
            </w:r>
            <w:r w:rsidRPr="07EA80C5" w:rsidR="15D8BEB4">
              <w:rPr>
                <w:rFonts w:ascii="Aptos" w:hAnsi="Aptos" w:eastAsia="Aptos" w:cs="Aptos"/>
              </w:rPr>
              <w:t xml:space="preserve">Documentation standards </w:t>
            </w:r>
            <w:r w:rsidRPr="07EA80C5" w:rsidR="2DBD9A35">
              <w:rPr>
                <w:rFonts w:ascii="Aptos" w:hAnsi="Aptos" w:eastAsia="Aptos" w:cs="Aptos"/>
              </w:rPr>
              <w:t xml:space="preserve">are </w:t>
            </w:r>
            <w:r w:rsidRPr="07EA80C5" w:rsidR="15D8BEB4">
              <w:rPr>
                <w:rFonts w:ascii="Aptos" w:hAnsi="Aptos" w:eastAsia="Aptos" w:cs="Aptos"/>
              </w:rPr>
              <w:t xml:space="preserve">clearly outlined. </w:t>
            </w:r>
          </w:p>
        </w:tc>
      </w:tr>
      <w:tr w:rsidR="708FC2E1" w:rsidTr="76A10730" w14:paraId="632034EA" w14:textId="77777777">
        <w:trPr>
          <w:trHeight w:val="638"/>
        </w:trPr>
        <w:tc>
          <w:tcPr>
            <w:tcW w:w="3240" w:type="dxa"/>
            <w:tcMar/>
          </w:tcPr>
          <w:p w:rsidR="17B08C22" w:rsidP="708FC2E1" w:rsidRDefault="17B08C22" w14:paraId="0B53ADE4" w14:textId="269A40AA">
            <w:pPr>
              <w:rPr>
                <w:rFonts w:ascii="Aptos" w:hAnsi="Aptos" w:eastAsia="Aptos" w:cs="Aptos"/>
                <w:sz w:val="24"/>
                <w:szCs w:val="24"/>
              </w:rPr>
            </w:pPr>
            <w:r w:rsidRPr="708FC2E1">
              <w:rPr>
                <w:rFonts w:ascii="Aptos" w:hAnsi="Aptos" w:eastAsia="Aptos" w:cs="Aptos"/>
                <w:b/>
                <w:bCs/>
                <w:sz w:val="24"/>
                <w:szCs w:val="24"/>
              </w:rPr>
              <w:t>Referral process</w:t>
            </w:r>
          </w:p>
        </w:tc>
        <w:tc>
          <w:tcPr>
            <w:tcW w:w="9828" w:type="dxa"/>
            <w:tcMar/>
          </w:tcPr>
          <w:p w:rsidR="17B08C22" w:rsidP="708FC2E1" w:rsidRDefault="17B08C22" w14:paraId="3E36D294" w14:textId="7EC05A11">
            <w:r>
              <w:rPr>
                <w:noProof/>
              </w:rPr>
              <mc:AlternateContent>
                <mc:Choice Requires="wps">
                  <w:drawing>
                    <wp:inline distT="0" distB="0" distL="0" distR="0" wp14:anchorId="232A6E7C" wp14:editId="51D893E8">
                      <wp:extent cx="141556" cy="135620"/>
                      <wp:effectExtent l="0" t="0" r="0" b="0"/>
                      <wp:docPr id="41304086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rsidR="4CCACE47">
              <w:t xml:space="preserve"> Includes specific behavioral health resources in the service area</w:t>
            </w:r>
            <w:r w:rsidR="786FFE29">
              <w:t xml:space="preserve">. Practices that do not have in-house behavioral health should indicate partners and/or use of </w:t>
            </w:r>
            <w:r w:rsidR="2631C6EC">
              <w:t xml:space="preserve">a </w:t>
            </w:r>
            <w:r w:rsidR="786FFE29">
              <w:t xml:space="preserve">closed loop referral system (e.g., </w:t>
            </w:r>
            <w:proofErr w:type="spellStart"/>
            <w:r w:rsidR="786FFE29">
              <w:t>FindHelp</w:t>
            </w:r>
            <w:proofErr w:type="spellEnd"/>
            <w:r w:rsidR="786FFE29">
              <w:t xml:space="preserve">) to respond to behavioral health needs.  </w:t>
            </w:r>
          </w:p>
          <w:p w:rsidR="4CCACE47" w:rsidP="708FC2E1" w:rsidRDefault="4CCACE47" w14:paraId="29E3B181" w14:textId="426EEFEB">
            <w:r>
              <w:rPr>
                <w:noProof/>
              </w:rPr>
              <mc:AlternateContent>
                <mc:Choice Requires="wps">
                  <w:drawing>
                    <wp:inline distT="0" distB="0" distL="0" distR="0" wp14:anchorId="3942E352" wp14:editId="75CA2956">
                      <wp:extent cx="141556" cy="135620"/>
                      <wp:effectExtent l="0" t="0" r="0" b="0"/>
                      <wp:docPr id="25242539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Defines how referrals are initiated, tracked, and monitored for a closed loop outcome.</w:t>
            </w:r>
          </w:p>
          <w:p w:rsidR="708FC2E1" w:rsidP="708FC2E1" w:rsidRDefault="131A0966" w14:paraId="0E82B0B0" w14:textId="3E2F6FD2">
            <w:r>
              <w:rPr>
                <w:noProof/>
              </w:rPr>
              <mc:AlternateContent>
                <mc:Choice Requires="wps">
                  <w:drawing>
                    <wp:inline distT="0" distB="0" distL="0" distR="0" wp14:anchorId="6C7B08BE" wp14:editId="048B2A3F">
                      <wp:extent cx="141556" cy="135620"/>
                      <wp:effectExtent l="0" t="0" r="0" b="0"/>
                      <wp:docPr id="191743211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t xml:space="preserve"> Workflow demonstrates how positive screens at various risk levels (mild, moderate,</w:t>
            </w:r>
            <w:r w:rsidR="382A6F24">
              <w:t xml:space="preserve"> </w:t>
            </w:r>
            <w:r>
              <w:t>high</w:t>
            </w:r>
            <w:r w:rsidR="3661CD5F">
              <w:t>) co</w:t>
            </w:r>
            <w:r w:rsidR="48C02A2B">
              <w:t>rrespond</w:t>
            </w:r>
            <w:r>
              <w:t xml:space="preserve"> to clinical decision-making related to the referral workflow (e.g. mild screen receives </w:t>
            </w:r>
            <w:r w:rsidR="5F681003">
              <w:t xml:space="preserve">watchful waiting or </w:t>
            </w:r>
            <w:r>
              <w:t>care management encounter through in-house CHW; severe screen is referred to behavioral health community-based partner and tracked for closed loop linkage</w:t>
            </w:r>
            <w:r w:rsidR="7AFC866A">
              <w:t xml:space="preserve"> and/or dispensed medication with follow up visit scheduled</w:t>
            </w:r>
            <w:r>
              <w:t xml:space="preserve">).   </w:t>
            </w:r>
          </w:p>
        </w:tc>
      </w:tr>
      <w:tr w:rsidR="708FC2E1" w:rsidTr="76A10730" w14:paraId="73CD7501" w14:textId="77777777">
        <w:trPr>
          <w:trHeight w:val="638"/>
        </w:trPr>
        <w:tc>
          <w:tcPr>
            <w:tcW w:w="3240" w:type="dxa"/>
            <w:tcMar/>
          </w:tcPr>
          <w:p w:rsidR="17B08C22" w:rsidP="708FC2E1" w:rsidRDefault="17B08C22" w14:paraId="188FA397" w14:textId="1C3EB046">
            <w:pPr>
              <w:rPr>
                <w:rFonts w:ascii="Aptos" w:hAnsi="Aptos" w:eastAsia="Aptos" w:cs="Aptos"/>
                <w:sz w:val="24"/>
                <w:szCs w:val="24"/>
              </w:rPr>
            </w:pPr>
            <w:r w:rsidRPr="708FC2E1">
              <w:rPr>
                <w:rFonts w:ascii="Aptos" w:hAnsi="Aptos" w:eastAsia="Aptos" w:cs="Aptos"/>
                <w:b/>
                <w:bCs/>
                <w:sz w:val="24"/>
                <w:szCs w:val="24"/>
              </w:rPr>
              <w:t>Training plan for staff</w:t>
            </w:r>
          </w:p>
        </w:tc>
        <w:tc>
          <w:tcPr>
            <w:tcW w:w="9828" w:type="dxa"/>
            <w:tcMar/>
          </w:tcPr>
          <w:p w:rsidR="17B08C22" w:rsidP="708FC2E1" w:rsidRDefault="17B08C22" w14:paraId="173CFC82" w14:textId="461BDE4B">
            <w:r>
              <w:rPr>
                <w:noProof/>
              </w:rPr>
              <mc:AlternateContent>
                <mc:Choice Requires="wps">
                  <w:drawing>
                    <wp:inline distT="0" distB="0" distL="0" distR="0" wp14:anchorId="6BE77BDA" wp14:editId="610DF608">
                      <wp:extent cx="141556" cy="135620"/>
                      <wp:effectExtent l="0" t="0" r="0" b="0"/>
                      <wp:docPr id="206079739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rsidR="6336C789">
              <w:t xml:space="preserve"> </w:t>
            </w:r>
            <w:r w:rsidR="3EBCA24B">
              <w:t xml:space="preserve"> Defines a training protocol that indicates who is trained, how often staff are trained (e.g. onboarding, annual), describe</w:t>
            </w:r>
            <w:r w:rsidR="3450CABB">
              <w:t>s</w:t>
            </w:r>
            <w:r w:rsidR="3EBCA24B">
              <w:t xml:space="preserve"> the training approach/materials, and how training is tracked and monitored for fidelity.  </w:t>
            </w:r>
          </w:p>
        </w:tc>
      </w:tr>
    </w:tbl>
    <w:p w:rsidR="07EA80C5" w:rsidRDefault="07EA80C5" w14:paraId="48CBF4C9" w14:textId="3BA1EDBE"/>
    <w:p w:rsidRPr="00495138" w:rsidR="00EE0336" w:rsidP="346546F8" w:rsidRDefault="00EE0336" w14:paraId="0989DA74" w14:textId="33C6FFD9">
      <w:pPr>
        <w:spacing w:after="0" w:line="240" w:lineRule="auto"/>
        <w:rPr>
          <w:rFonts w:ascii="Aptos" w:hAnsi="Aptos" w:eastAsiaTheme="minorEastAsia"/>
          <w:kern w:val="0"/>
          <w:sz w:val="24"/>
          <w:szCs w:val="24"/>
          <w14:ligatures w14:val="none"/>
        </w:rPr>
      </w:pPr>
    </w:p>
    <w:p w:rsidR="5D0A479C" w:rsidP="708FC2E1" w:rsidRDefault="5D0A479C" w14:paraId="3DB785DB" w14:textId="215CDBBB">
      <w:pPr>
        <w:rPr>
          <w:rFonts w:ascii="Aptos" w:hAnsi="Aptos" w:eastAsia="Aptos" w:cs="Aptos"/>
          <w:color w:val="000000" w:themeColor="text1"/>
          <w:sz w:val="24"/>
          <w:szCs w:val="24"/>
        </w:rPr>
      </w:pPr>
      <w:r w:rsidRPr="708FC2E1">
        <w:rPr>
          <w:rStyle w:val="Heading3Char"/>
          <w:b/>
          <w:bCs/>
        </w:rPr>
        <w:t xml:space="preserve">2B. </w:t>
      </w:r>
      <w:proofErr w:type="gramStart"/>
      <w:r w:rsidRPr="708FC2E1">
        <w:rPr>
          <w:rStyle w:val="Heading3Char"/>
          <w:b/>
          <w:bCs/>
        </w:rPr>
        <w:t>Substance Use Disorder</w:t>
      </w:r>
      <w:proofErr w:type="gramEnd"/>
      <w:r w:rsidRPr="708FC2E1" w:rsidR="208C1C69">
        <w:rPr>
          <w:rStyle w:val="Heading3Char"/>
          <w:b/>
          <w:bCs/>
        </w:rPr>
        <w:t xml:space="preserve"> (SUD)</w:t>
      </w:r>
      <w:r w:rsidRPr="708FC2E1">
        <w:rPr>
          <w:rStyle w:val="Heading3Char"/>
          <w:b/>
          <w:bCs/>
        </w:rPr>
        <w:t xml:space="preserve"> Screening &amp; Linkage strategy:</w:t>
      </w:r>
      <w:r w:rsidRPr="708FC2E1">
        <w:rPr>
          <w:rFonts w:ascii="Aptos" w:hAnsi="Aptos" w:cs="Aptos" w:eastAsiaTheme="minorEastAsia"/>
          <w:b/>
          <w:bCs/>
          <w:color w:val="000000" w:themeColor="text1"/>
          <w:sz w:val="24"/>
          <w:szCs w:val="24"/>
        </w:rPr>
        <w:t xml:space="preserve"> </w:t>
      </w:r>
    </w:p>
    <w:p w:rsidR="370E64E4" w:rsidP="708FC2E1" w:rsidRDefault="370E64E4" w14:paraId="4FAF5A31" w14:textId="109B3515">
      <w:pPr>
        <w:rPr>
          <w:rFonts w:ascii="Aptos" w:hAnsi="Aptos" w:cs="Aptos" w:eastAsiaTheme="minorEastAsia"/>
          <w:b/>
          <w:bCs/>
          <w:color w:val="215E99" w:themeColor="text2" w:themeTint="BF"/>
          <w:sz w:val="28"/>
          <w:szCs w:val="28"/>
        </w:rPr>
      </w:pPr>
      <w:r w:rsidRPr="708FC2E1">
        <w:rPr>
          <w:rFonts w:ascii="Aptos" w:hAnsi="Aptos" w:cs="Aptos" w:eastAsiaTheme="minorEastAsia"/>
          <w:b/>
          <w:bCs/>
          <w:color w:val="215E99" w:themeColor="text2" w:themeTint="BF"/>
          <w:sz w:val="28"/>
          <w:szCs w:val="28"/>
        </w:rPr>
        <w:t>What You Need to Do</w:t>
      </w:r>
    </w:p>
    <w:p w:rsidR="370E64E4" w:rsidP="708FC2E1" w:rsidRDefault="370E64E4" w14:paraId="7DCF5ADF" w14:textId="2D58049D">
      <w:pPr>
        <w:rPr>
          <w:rFonts w:ascii="Aptos" w:hAnsi="Aptos" w:cs="Aptos" w:eastAsiaTheme="minorEastAsia"/>
          <w:color w:val="000000" w:themeColor="text1"/>
          <w:sz w:val="24"/>
          <w:szCs w:val="24"/>
        </w:rPr>
      </w:pPr>
      <w:r w:rsidRPr="708FC2E1">
        <w:rPr>
          <w:rFonts w:ascii="Aptos" w:hAnsi="Aptos" w:cs="Aptos" w:eastAsiaTheme="minorEastAsia"/>
          <w:color w:val="000000" w:themeColor="text1"/>
          <w:sz w:val="24"/>
          <w:szCs w:val="24"/>
        </w:rPr>
        <w:t xml:space="preserve">Describe your </w:t>
      </w:r>
      <w:r w:rsidRPr="708FC2E1">
        <w:rPr>
          <w:rFonts w:ascii="Aptos" w:hAnsi="Aptos" w:cs="Aptos" w:eastAsiaTheme="minorEastAsia"/>
          <w:b/>
          <w:bCs/>
          <w:color w:val="000000" w:themeColor="text1"/>
          <w:sz w:val="24"/>
          <w:szCs w:val="24"/>
        </w:rPr>
        <w:t xml:space="preserve">complete SUD screening and response workflow, </w:t>
      </w:r>
      <w:proofErr w:type="gramStart"/>
      <w:r w:rsidRPr="708FC2E1">
        <w:rPr>
          <w:rFonts w:ascii="Aptos" w:hAnsi="Aptos" w:cs="Aptos" w:eastAsiaTheme="minorEastAsia"/>
          <w:color w:val="000000" w:themeColor="text1"/>
          <w:sz w:val="24"/>
          <w:szCs w:val="24"/>
        </w:rPr>
        <w:t>similar to</w:t>
      </w:r>
      <w:proofErr w:type="gramEnd"/>
      <w:r w:rsidRPr="708FC2E1">
        <w:rPr>
          <w:rFonts w:ascii="Aptos" w:hAnsi="Aptos" w:cs="Aptos" w:eastAsiaTheme="minorEastAsia"/>
          <w:color w:val="000000" w:themeColor="text1"/>
          <w:sz w:val="24"/>
          <w:szCs w:val="24"/>
        </w:rPr>
        <w:t xml:space="preserve"> 2A but includes the SUD screening tool selection.</w:t>
      </w:r>
    </w:p>
    <w:p w:rsidR="370E64E4" w:rsidP="07EA80C5" w:rsidRDefault="370E64E4" w14:paraId="7C72C56E" w14:textId="242188FC">
      <w:pPr>
        <w:spacing w:after="0" w:line="300" w:lineRule="auto"/>
        <w:rPr>
          <w:rFonts w:ascii="Segoe UI" w:hAnsi="Segoe UI" w:eastAsia="Segoe UI" w:cs="Segoe UI"/>
          <w:sz w:val="21"/>
          <w:szCs w:val="21"/>
        </w:rPr>
      </w:pPr>
      <w:r w:rsidRPr="07EA80C5">
        <w:rPr>
          <w:rFonts w:ascii="Segoe UI" w:hAnsi="Segoe UI" w:eastAsia="Segoe UI" w:cs="Segoe UI"/>
          <w:b/>
          <w:bCs/>
          <w:sz w:val="21"/>
          <w:szCs w:val="21"/>
        </w:rPr>
        <w:t xml:space="preserve">🟢 </w:t>
      </w:r>
      <w:r w:rsidRPr="07EA80C5" w:rsidR="777CDCB5">
        <w:rPr>
          <w:rFonts w:eastAsiaTheme="minorEastAsia"/>
          <w:b/>
          <w:bCs/>
          <w:sz w:val="24"/>
          <w:szCs w:val="24"/>
        </w:rPr>
        <w:t>ACCEPTED</w:t>
      </w:r>
      <w:r w:rsidRPr="07EA80C5">
        <w:rPr>
          <w:rFonts w:eastAsiaTheme="minorEastAsia"/>
          <w:b/>
          <w:bCs/>
          <w:sz w:val="24"/>
          <w:szCs w:val="24"/>
        </w:rPr>
        <w:t>:</w:t>
      </w:r>
    </w:p>
    <w:p w:rsidR="370E64E4" w:rsidP="708FC2E1" w:rsidRDefault="370E64E4" w14:paraId="3458F932" w14:textId="74152722">
      <w:pPr>
        <w:spacing w:beforeAutospacing="1" w:afterAutospacing="1"/>
        <w:rPr>
          <w:rFonts w:ascii="Aptos" w:hAnsi="Aptos" w:eastAsiaTheme="minorEastAsia"/>
          <w:sz w:val="24"/>
          <w:szCs w:val="24"/>
        </w:rPr>
      </w:pPr>
      <w:r w:rsidRPr="07EA80C5">
        <w:rPr>
          <w:rFonts w:ascii="Aptos" w:hAnsi="Aptos" w:eastAsiaTheme="minorEastAsia"/>
          <w:sz w:val="24"/>
          <w:szCs w:val="24"/>
        </w:rPr>
        <w:t xml:space="preserve">The response </w:t>
      </w:r>
      <w:r w:rsidRPr="07EA80C5" w:rsidR="429DB84F">
        <w:rPr>
          <w:rFonts w:ascii="Aptos" w:hAnsi="Aptos" w:eastAsiaTheme="minorEastAsia"/>
          <w:sz w:val="24"/>
          <w:szCs w:val="24"/>
        </w:rPr>
        <w:t>will be accepted</w:t>
      </w:r>
      <w:r w:rsidRPr="07EA80C5">
        <w:rPr>
          <w:rFonts w:ascii="Aptos" w:hAnsi="Aptos" w:eastAsiaTheme="minorEastAsia"/>
          <w:sz w:val="24"/>
          <w:szCs w:val="24"/>
        </w:rPr>
        <w:t xml:space="preserve"> if the workflow clearly defines roles/responsibilities, demonstrates a practice-specific screening process, triage/crisis protocol, referral workflow and follow-up, staff training plan, and documentation standards.</w:t>
      </w:r>
    </w:p>
    <w:p w:rsidR="370E64E4" w:rsidP="708FC2E1" w:rsidRDefault="370E64E4" w14:paraId="2CB22EEB" w14:textId="3CAFCE3A">
      <w:pPr>
        <w:spacing w:beforeAutospacing="1" w:afterAutospacing="1"/>
        <w:rPr>
          <w:rFonts w:ascii="Aptos" w:hAnsi="Aptos" w:eastAsiaTheme="minorEastAsia"/>
          <w:sz w:val="24"/>
          <w:szCs w:val="24"/>
        </w:rPr>
      </w:pPr>
      <w:r w:rsidRPr="07EA80C5">
        <w:rPr>
          <w:rFonts w:ascii="Segoe UI" w:hAnsi="Segoe UI" w:eastAsia="Segoe UI" w:cs="Segoe UI"/>
          <w:b/>
          <w:bCs/>
          <w:sz w:val="21"/>
          <w:szCs w:val="21"/>
        </w:rPr>
        <w:t xml:space="preserve">🔴 </w:t>
      </w:r>
      <w:r w:rsidRPr="07EA80C5" w:rsidR="61434AF0">
        <w:rPr>
          <w:rFonts w:ascii="Aptos" w:hAnsi="Aptos" w:eastAsiaTheme="minorEastAsia"/>
          <w:b/>
          <w:bCs/>
          <w:sz w:val="24"/>
          <w:szCs w:val="24"/>
        </w:rPr>
        <w:t>NOT ACCEPTED</w:t>
      </w:r>
      <w:r w:rsidRPr="07EA80C5">
        <w:rPr>
          <w:rFonts w:ascii="Aptos" w:hAnsi="Aptos" w:eastAsiaTheme="minorEastAsia"/>
          <w:b/>
          <w:bCs/>
          <w:sz w:val="24"/>
          <w:szCs w:val="24"/>
        </w:rPr>
        <w:t>:</w:t>
      </w:r>
      <w:r>
        <w:br/>
      </w:r>
      <w:r w:rsidRPr="07EA80C5">
        <w:rPr>
          <w:rFonts w:ascii="Aptos" w:hAnsi="Aptos" w:eastAsiaTheme="minorEastAsia"/>
          <w:sz w:val="24"/>
          <w:szCs w:val="24"/>
        </w:rPr>
        <w:t xml:space="preserve">The submission </w:t>
      </w:r>
      <w:r w:rsidRPr="07EA80C5" w:rsidR="3EA55CAD">
        <w:rPr>
          <w:rFonts w:ascii="Aptos" w:hAnsi="Aptos" w:eastAsiaTheme="minorEastAsia"/>
          <w:sz w:val="24"/>
          <w:szCs w:val="24"/>
        </w:rPr>
        <w:t xml:space="preserve">will not be accepted </w:t>
      </w:r>
      <w:r w:rsidRPr="07EA80C5">
        <w:rPr>
          <w:rFonts w:ascii="Aptos" w:hAnsi="Aptos" w:eastAsiaTheme="minorEastAsia"/>
          <w:sz w:val="24"/>
          <w:szCs w:val="24"/>
        </w:rPr>
        <w:t xml:space="preserve">if 5 or fewer prompts do not meet the criteria within each prompt </w:t>
      </w:r>
      <w:r w:rsidRPr="07EA80C5">
        <w:rPr>
          <w:rFonts w:ascii="Aptos" w:hAnsi="Aptos" w:eastAsiaTheme="minorEastAsia"/>
          <w:b/>
          <w:bCs/>
          <w:sz w:val="24"/>
          <w:szCs w:val="24"/>
        </w:rPr>
        <w:t>AND/OR</w:t>
      </w:r>
      <w:r w:rsidRPr="07EA80C5">
        <w:rPr>
          <w:rFonts w:ascii="Aptos" w:hAnsi="Aptos" w:eastAsiaTheme="minorEastAsia"/>
          <w:sz w:val="24"/>
          <w:szCs w:val="24"/>
        </w:rPr>
        <w:t xml:space="preserve"> if triage and escalation protocol is missing or is not clearly described (e.g. validated screening tool is not listed, unclear role responsibility, lack of intervention/referral plan, fails to evaluate risk rating and crisis workflows, </w:t>
      </w:r>
      <w:proofErr w:type="spellStart"/>
      <w:r w:rsidRPr="07EA80C5">
        <w:rPr>
          <w:rFonts w:ascii="Aptos" w:hAnsi="Aptos" w:eastAsiaTheme="minorEastAsia"/>
          <w:sz w:val="24"/>
          <w:szCs w:val="24"/>
        </w:rPr>
        <w:t>etc</w:t>
      </w:r>
      <w:proofErr w:type="spellEnd"/>
      <w:r w:rsidRPr="07EA80C5">
        <w:rPr>
          <w:rFonts w:ascii="Aptos" w:hAnsi="Aptos" w:eastAsiaTheme="minorEastAsia"/>
          <w:sz w:val="24"/>
          <w:szCs w:val="24"/>
        </w:rPr>
        <w:t>).</w:t>
      </w:r>
    </w:p>
    <w:p w:rsidR="708FC2E1" w:rsidP="708FC2E1" w:rsidRDefault="708FC2E1" w14:paraId="1291493C" w14:textId="619F921A">
      <w:pPr>
        <w:rPr>
          <w:rFonts w:ascii="Aptos" w:hAnsi="Aptos" w:cs="Aptos" w:eastAsiaTheme="minorEastAsia"/>
          <w:b/>
          <w:bCs/>
          <w:color w:val="000000" w:themeColor="text1"/>
          <w:sz w:val="24"/>
          <w:szCs w:val="24"/>
        </w:rPr>
      </w:pPr>
    </w:p>
    <w:tbl>
      <w:tblPr>
        <w:tblStyle w:val="TableGrid"/>
        <w:tblW w:w="13068" w:type="dxa"/>
        <w:tblLook w:val="04A0" w:firstRow="1" w:lastRow="0" w:firstColumn="1" w:lastColumn="0" w:noHBand="0" w:noVBand="1"/>
      </w:tblPr>
      <w:tblGrid>
        <w:gridCol w:w="3240"/>
        <w:gridCol w:w="9828"/>
      </w:tblGrid>
      <w:tr w:rsidR="708FC2E1" w:rsidTr="76A10730" w14:paraId="3EB2B30F" w14:textId="77777777">
        <w:trPr>
          <w:trHeight w:val="638"/>
        </w:trPr>
        <w:tc>
          <w:tcPr>
            <w:tcW w:w="3240" w:type="dxa"/>
            <w:tcMar/>
          </w:tcPr>
          <w:p w:rsidR="708FC2E1" w:rsidP="708FC2E1" w:rsidRDefault="708FC2E1" w14:paraId="55E49B32" w14:textId="707109E6">
            <w:pPr>
              <w:rPr>
                <w:rFonts w:ascii="Aptos" w:hAnsi="Aptos" w:eastAsiaTheme="minorEastAsia"/>
                <w:b/>
                <w:bCs/>
                <w:sz w:val="24"/>
                <w:szCs w:val="24"/>
              </w:rPr>
            </w:pPr>
            <w:r w:rsidRPr="708FC2E1">
              <w:rPr>
                <w:rFonts w:ascii="Aptos" w:hAnsi="Aptos" w:eastAsiaTheme="minorEastAsia"/>
                <w:b/>
                <w:bCs/>
                <w:sz w:val="24"/>
                <w:szCs w:val="24"/>
              </w:rPr>
              <w:t>Component</w:t>
            </w:r>
          </w:p>
        </w:tc>
        <w:tc>
          <w:tcPr>
            <w:tcW w:w="9828" w:type="dxa"/>
            <w:tcMar/>
          </w:tcPr>
          <w:p w:rsidR="708FC2E1" w:rsidP="708FC2E1" w:rsidRDefault="708FC2E1" w14:paraId="21EEC0B0" w14:textId="2C6F7F9D">
            <w:pPr>
              <w:rPr>
                <w:rFonts w:ascii="Aptos" w:hAnsi="Aptos" w:eastAsiaTheme="minorEastAsia"/>
                <w:b/>
                <w:bCs/>
                <w:sz w:val="24"/>
                <w:szCs w:val="24"/>
              </w:rPr>
            </w:pPr>
            <w:r w:rsidRPr="708FC2E1">
              <w:rPr>
                <w:rFonts w:ascii="Aptos" w:hAnsi="Aptos" w:eastAsiaTheme="minorEastAsia"/>
                <w:b/>
                <w:bCs/>
                <w:sz w:val="24"/>
                <w:szCs w:val="24"/>
              </w:rPr>
              <w:t>Criterion</w:t>
            </w:r>
          </w:p>
        </w:tc>
      </w:tr>
      <w:tr w:rsidR="708FC2E1" w:rsidTr="76A10730" w14:paraId="68D8B460" w14:textId="77777777">
        <w:trPr>
          <w:trHeight w:val="720"/>
        </w:trPr>
        <w:tc>
          <w:tcPr>
            <w:tcW w:w="3240" w:type="dxa"/>
            <w:tcMar/>
          </w:tcPr>
          <w:p w:rsidR="708FC2E1" w:rsidP="07EA80C5" w:rsidRDefault="061CC79C" w14:paraId="3AEB9F62" w14:textId="002D75D3">
            <w:pPr>
              <w:spacing w:beforeAutospacing="1" w:afterAutospacing="1"/>
              <w:rPr>
                <w:rFonts w:ascii="Aptos" w:hAnsi="Aptos" w:eastAsia="Aptos" w:cs="Aptos"/>
                <w:b/>
                <w:bCs/>
                <w:sz w:val="24"/>
                <w:szCs w:val="24"/>
              </w:rPr>
            </w:pPr>
            <w:r w:rsidRPr="07EA80C5">
              <w:rPr>
                <w:rFonts w:ascii="Aptos" w:hAnsi="Aptos" w:eastAsia="Aptos" w:cs="Aptos"/>
                <w:b/>
                <w:bCs/>
                <w:sz w:val="24"/>
                <w:szCs w:val="24"/>
              </w:rPr>
              <w:t xml:space="preserve">What staff role is responsible for conducting initial and follow up </w:t>
            </w:r>
          </w:p>
        </w:tc>
        <w:tc>
          <w:tcPr>
            <w:tcW w:w="9828" w:type="dxa"/>
            <w:tcMar/>
          </w:tcPr>
          <w:p w:rsidR="708FC2E1" w:rsidP="708FC2E1" w:rsidRDefault="708FC2E1" w14:paraId="10F57402" w14:textId="7A2A3292">
            <w:r>
              <w:rPr>
                <w:noProof/>
              </w:rPr>
              <mc:AlternateContent>
                <mc:Choice Requires="wps">
                  <w:drawing>
                    <wp:inline distT="0" distB="0" distL="0" distR="0" wp14:anchorId="02D05923" wp14:editId="73E722CB">
                      <wp:extent cx="141556" cy="135620"/>
                      <wp:effectExtent l="0" t="0" r="0" b="0"/>
                      <wp:docPr id="152893454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A specific role within the practice care team clearly named (e.g., Medical Assistant).</w:t>
            </w:r>
          </w:p>
        </w:tc>
      </w:tr>
      <w:tr w:rsidR="708FC2E1" w:rsidTr="76A10730" w14:paraId="4B73BCC2" w14:textId="77777777">
        <w:trPr>
          <w:trHeight w:val="638"/>
        </w:trPr>
        <w:tc>
          <w:tcPr>
            <w:tcW w:w="3240" w:type="dxa"/>
            <w:tcMar/>
          </w:tcPr>
          <w:p w:rsidR="64840A5C" w:rsidP="708FC2E1" w:rsidRDefault="64840A5C" w14:paraId="203C6D62" w14:textId="1E20DE96">
            <w:pPr>
              <w:rPr>
                <w:rFonts w:ascii="Aptos" w:hAnsi="Aptos" w:eastAsia="Aptos" w:cs="Aptos"/>
                <w:b/>
                <w:bCs/>
                <w:sz w:val="24"/>
                <w:szCs w:val="24"/>
              </w:rPr>
            </w:pPr>
            <w:r w:rsidRPr="708FC2E1">
              <w:rPr>
                <w:rFonts w:ascii="Aptos" w:hAnsi="Aptos" w:eastAsia="Aptos" w:cs="Aptos"/>
                <w:b/>
                <w:bCs/>
                <w:sz w:val="24"/>
                <w:szCs w:val="24"/>
              </w:rPr>
              <w:t>Screening Tool</w:t>
            </w:r>
          </w:p>
        </w:tc>
        <w:tc>
          <w:tcPr>
            <w:tcW w:w="9828" w:type="dxa"/>
            <w:tcMar/>
          </w:tcPr>
          <w:p w:rsidR="64840A5C" w:rsidP="708FC2E1" w:rsidRDefault="64840A5C" w14:paraId="655712B0" w14:textId="310E614C">
            <w:r>
              <w:rPr>
                <w:noProof/>
              </w:rPr>
              <mc:AlternateContent>
                <mc:Choice Requires="wps">
                  <w:drawing>
                    <wp:inline distT="0" distB="0" distL="0" distR="0" wp14:anchorId="2E121831" wp14:editId="30EE99E5">
                      <wp:extent cx="141556" cy="135620"/>
                      <wp:effectExtent l="0" t="0" r="0" b="0"/>
                      <wp:docPr id="126491281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Indicates a validated tool that will be used to evaluate both alcohol and drug screening. </w:t>
            </w:r>
            <w:r w:rsidR="3C212BB7">
              <w:t>Screening t</w:t>
            </w:r>
            <w:r>
              <w:t xml:space="preserve">ool should be appropriate to the practice population and age range.  </w:t>
            </w:r>
          </w:p>
          <w:p w:rsidR="708FC2E1" w:rsidP="708FC2E1" w:rsidRDefault="708FC2E1" w14:paraId="448F099C" w14:textId="7DF5D6C4"/>
        </w:tc>
      </w:tr>
      <w:tr w:rsidR="708FC2E1" w:rsidTr="76A10730" w14:paraId="01878F33" w14:textId="77777777">
        <w:trPr>
          <w:trHeight w:val="638"/>
        </w:trPr>
        <w:tc>
          <w:tcPr>
            <w:tcW w:w="3240" w:type="dxa"/>
            <w:tcMar/>
          </w:tcPr>
          <w:p w:rsidR="708FC2E1" w:rsidP="07EA80C5" w:rsidRDefault="061CC79C" w14:paraId="6AEEFA67" w14:textId="5C6EE149">
            <w:pPr>
              <w:spacing w:beforeAutospacing="1" w:afterAutospacing="1"/>
              <w:rPr>
                <w:rFonts w:ascii="Aptos" w:hAnsi="Aptos" w:eastAsia="Aptos" w:cs="Aptos"/>
                <w:b/>
                <w:bCs/>
                <w:sz w:val="24"/>
                <w:szCs w:val="24"/>
              </w:rPr>
            </w:pPr>
            <w:r w:rsidRPr="07EA80C5">
              <w:rPr>
                <w:rFonts w:ascii="Aptos" w:hAnsi="Aptos" w:eastAsia="Aptos" w:cs="Aptos"/>
                <w:b/>
                <w:bCs/>
                <w:sz w:val="24"/>
                <w:szCs w:val="24"/>
              </w:rPr>
              <w:t>How often is screening conducted</w:t>
            </w:r>
          </w:p>
        </w:tc>
        <w:tc>
          <w:tcPr>
            <w:tcW w:w="9828" w:type="dxa"/>
            <w:tcMar/>
          </w:tcPr>
          <w:p w:rsidR="708FC2E1" w:rsidP="708FC2E1" w:rsidRDefault="708FC2E1" w14:paraId="27C90E6C" w14:textId="05285EFF">
            <w:r>
              <w:rPr>
                <w:noProof/>
              </w:rPr>
              <mc:AlternateContent>
                <mc:Choice Requires="wps">
                  <w:drawing>
                    <wp:inline distT="0" distB="0" distL="0" distR="0" wp14:anchorId="4C1BF47E" wp14:editId="0B82CF2E">
                      <wp:extent cx="141556" cy="135620"/>
                      <wp:effectExtent l="0" t="0" r="0" b="0"/>
                      <wp:docPr id="58140869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A specific timeframe is defined for screening (e.g., every visit, annually, well visits, etc.)</w:t>
            </w:r>
          </w:p>
        </w:tc>
      </w:tr>
      <w:tr w:rsidR="708FC2E1" w:rsidTr="76A10730" w14:paraId="43006216" w14:textId="77777777">
        <w:trPr>
          <w:trHeight w:val="638"/>
        </w:trPr>
        <w:tc>
          <w:tcPr>
            <w:tcW w:w="3240" w:type="dxa"/>
            <w:tcMar/>
          </w:tcPr>
          <w:p w:rsidR="708FC2E1" w:rsidP="708FC2E1" w:rsidRDefault="708FC2E1" w14:paraId="338546DD" w14:textId="5BF77C77">
            <w:pPr>
              <w:rPr>
                <w:rFonts w:ascii="Aptos" w:hAnsi="Aptos" w:eastAsia="Aptos" w:cs="Aptos"/>
                <w:sz w:val="24"/>
                <w:szCs w:val="24"/>
              </w:rPr>
            </w:pPr>
            <w:r w:rsidRPr="708FC2E1">
              <w:rPr>
                <w:rFonts w:ascii="Aptos" w:hAnsi="Aptos" w:eastAsia="Aptos" w:cs="Aptos"/>
                <w:b/>
                <w:bCs/>
                <w:sz w:val="24"/>
                <w:szCs w:val="24"/>
              </w:rPr>
              <w:t>Administration Method</w:t>
            </w:r>
          </w:p>
          <w:p w:rsidR="708FC2E1" w:rsidP="708FC2E1" w:rsidRDefault="708FC2E1" w14:paraId="19023197" w14:textId="77648E75">
            <w:pPr>
              <w:rPr>
                <w:rFonts w:ascii="Aptos" w:hAnsi="Aptos" w:eastAsia="Aptos" w:cs="Aptos"/>
                <w:b/>
                <w:bCs/>
                <w:sz w:val="24"/>
                <w:szCs w:val="24"/>
              </w:rPr>
            </w:pPr>
          </w:p>
        </w:tc>
        <w:tc>
          <w:tcPr>
            <w:tcW w:w="9828" w:type="dxa"/>
            <w:tcMar/>
          </w:tcPr>
          <w:p w:rsidR="708FC2E1" w:rsidP="708FC2E1" w:rsidRDefault="708FC2E1" w14:paraId="0D3CB3B1" w14:textId="0E550CA6">
            <w:r>
              <w:rPr>
                <w:noProof/>
              </w:rPr>
              <mc:AlternateContent>
                <mc:Choice Requires="wps">
                  <w:drawing>
                    <wp:inline distT="0" distB="0" distL="0" distR="0" wp14:anchorId="099E572F" wp14:editId="0CB701C5">
                      <wp:extent cx="141556" cy="135620"/>
                      <wp:effectExtent l="0" t="0" r="0" b="0"/>
                      <wp:docPr id="49705529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Includes how the screenings will be administered (e.g., EHR form, Patient Portal, Paper-based, Verbal, Tablet, etc.)  </w:t>
            </w:r>
          </w:p>
          <w:p w:rsidR="708FC2E1" w:rsidP="708FC2E1" w:rsidRDefault="708FC2E1" w14:paraId="1A8A513F" w14:textId="51B396B8"/>
        </w:tc>
      </w:tr>
      <w:tr w:rsidR="708FC2E1" w:rsidTr="76A10730" w14:paraId="1A07E938" w14:textId="77777777">
        <w:trPr>
          <w:trHeight w:val="638"/>
        </w:trPr>
        <w:tc>
          <w:tcPr>
            <w:tcW w:w="3240" w:type="dxa"/>
            <w:tcMar/>
          </w:tcPr>
          <w:p w:rsidR="708FC2E1" w:rsidP="708FC2E1" w:rsidRDefault="708FC2E1" w14:paraId="4CF7E3D4" w14:textId="48C85B86">
            <w:r w:rsidRPr="708FC2E1">
              <w:rPr>
                <w:rFonts w:ascii="Aptos" w:hAnsi="Aptos" w:eastAsia="Aptos" w:cs="Aptos"/>
                <w:b/>
                <w:bCs/>
                <w:sz w:val="24"/>
                <w:szCs w:val="24"/>
              </w:rPr>
              <w:t>Triage/Intervention Protocol(s)</w:t>
            </w:r>
            <w:r w:rsidRPr="708FC2E1">
              <w:rPr>
                <w:rFonts w:ascii="Aptos" w:hAnsi="Aptos" w:eastAsia="Aptos" w:cs="Aptos"/>
                <w:sz w:val="24"/>
                <w:szCs w:val="24"/>
              </w:rPr>
              <w:t xml:space="preserve">  </w:t>
            </w:r>
          </w:p>
          <w:p w:rsidR="70E73AE1" w:rsidP="76A10730" w:rsidRDefault="70E73AE1" w14:paraId="0F15DA67" w14:textId="74BD72F1">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70E73AE1">
              <w:rPr>
                <w:rFonts w:ascii="Aptos Display" w:hAnsi="Aptos Display" w:eastAsia="Aptos Display" w:cs="Aptos Display" w:asciiTheme="majorAscii" w:hAnsiTheme="majorAscii" w:eastAsiaTheme="majorAscii" w:cstheme="majorAscii"/>
                <w:sz w:val="24"/>
                <w:szCs w:val="24"/>
              </w:rPr>
              <w:t>Positive screen →</w:t>
            </w:r>
          </w:p>
          <w:p w:rsidR="70E73AE1" w:rsidP="76A10730" w:rsidRDefault="70E73AE1" w14:paraId="7EE04429" w14:textId="0A74D258">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70E73AE1">
              <w:rPr>
                <w:rFonts w:ascii="Aptos Display" w:hAnsi="Aptos Display" w:eastAsia="Aptos Display" w:cs="Aptos Display" w:asciiTheme="majorAscii" w:hAnsiTheme="majorAscii" w:eastAsiaTheme="majorAscii" w:cstheme="majorAscii"/>
                <w:sz w:val="24"/>
                <w:szCs w:val="24"/>
              </w:rPr>
              <w:t>Risk assessment →</w:t>
            </w:r>
          </w:p>
          <w:p w:rsidR="70E73AE1" w:rsidP="76A10730" w:rsidRDefault="70E73AE1" w14:paraId="22974467" w14:textId="69519F05">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70E73AE1">
              <w:rPr>
                <w:rFonts w:ascii="Aptos Display" w:hAnsi="Aptos Display" w:eastAsia="Aptos Display" w:cs="Aptos Display" w:asciiTheme="majorAscii" w:hAnsiTheme="majorAscii" w:eastAsiaTheme="majorAscii" w:cstheme="majorAscii"/>
                <w:sz w:val="24"/>
                <w:szCs w:val="24"/>
              </w:rPr>
              <w:t>Intervention →</w:t>
            </w:r>
          </w:p>
          <w:p w:rsidR="70E73AE1" w:rsidP="76A10730" w:rsidRDefault="70E73AE1" w14:paraId="04A00384" w14:textId="4ECD83B0">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70E73AE1">
              <w:rPr>
                <w:rFonts w:ascii="Aptos Display" w:hAnsi="Aptos Display" w:eastAsia="Aptos Display" w:cs="Aptos Display" w:asciiTheme="majorAscii" w:hAnsiTheme="majorAscii" w:eastAsiaTheme="majorAscii" w:cstheme="majorAscii"/>
                <w:sz w:val="24"/>
                <w:szCs w:val="24"/>
              </w:rPr>
              <w:t>Referral →</w:t>
            </w:r>
          </w:p>
          <w:p w:rsidR="708FC2E1" w:rsidP="76A10730" w:rsidRDefault="659BB581" w14:paraId="4D0CDA19" w14:textId="4C871B91">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659BB581">
              <w:rPr>
                <w:rFonts w:ascii="Aptos Display" w:hAnsi="Aptos Display" w:eastAsia="Aptos Display" w:cs="Aptos Display" w:asciiTheme="majorAscii" w:hAnsiTheme="majorAscii" w:eastAsiaTheme="majorAscii" w:cstheme="majorAscii"/>
                <w:sz w:val="24"/>
                <w:szCs w:val="24"/>
              </w:rPr>
              <w:t>Closed-loop tracking</w:t>
            </w:r>
          </w:p>
        </w:tc>
        <w:tc>
          <w:tcPr>
            <w:tcW w:w="9828" w:type="dxa"/>
            <w:tcMar/>
          </w:tcPr>
          <w:p w:rsidR="708FC2E1" w:rsidP="708FC2E1" w:rsidRDefault="708FC2E1" w14:paraId="716F86CD" w14:textId="1F4C5CA6">
            <w:r>
              <w:rPr>
                <w:noProof/>
              </w:rPr>
              <mc:AlternateContent>
                <mc:Choice Requires="wps">
                  <w:drawing>
                    <wp:inline distT="0" distB="0" distL="0" distR="0" wp14:anchorId="4A63C648" wp14:editId="23DC125F">
                      <wp:extent cx="141556" cy="135620"/>
                      <wp:effectExtent l="0" t="0" r="0" b="0"/>
                      <wp:docPr id="55720139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Practice uploaded or provided a brief description of protocol</w:t>
            </w:r>
          </w:p>
          <w:p w:rsidR="708FC2E1" w:rsidP="708FC2E1" w:rsidRDefault="708FC2E1" w14:paraId="5F37BFE1" w14:textId="4158F735">
            <w:r>
              <w:rPr>
                <w:noProof/>
              </w:rPr>
              <mc:AlternateContent>
                <mc:Choice Requires="wps">
                  <w:drawing>
                    <wp:inline distT="0" distB="0" distL="0" distR="0" wp14:anchorId="477613D6" wp14:editId="3C361784">
                      <wp:extent cx="141556" cy="135620"/>
                      <wp:effectExtent l="0" t="0" r="0" b="0"/>
                      <wp:docPr id="17027728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Protocol clearly defines risk assessment workflow, </w:t>
            </w:r>
            <w:hyperlink w:history="1" w:anchor="_Positive_Screens_linked">
              <w:r w:rsidRPr="708FC2E1">
                <w:rPr>
                  <w:rStyle w:val="Hyperlink"/>
                </w:rPr>
                <w:t>specific interventions,</w:t>
              </w:r>
            </w:hyperlink>
            <w:r>
              <w:t xml:space="preserve"> crisis escalation steps, and referral protocol.</w:t>
            </w:r>
          </w:p>
          <w:p w:rsidR="708FC2E1" w:rsidP="708FC2E1" w:rsidRDefault="708FC2E1" w14:paraId="2E98B7E7" w14:textId="2C55C620">
            <w:r>
              <w:rPr>
                <w:noProof/>
              </w:rPr>
              <mc:AlternateContent>
                <mc:Choice Requires="wps">
                  <w:drawing>
                    <wp:inline distT="0" distB="0" distL="0" distR="0" wp14:anchorId="7B34D53F" wp14:editId="57ACE2A3">
                      <wp:extent cx="141556" cy="135620"/>
                      <wp:effectExtent l="0" t="0" r="0" b="0"/>
                      <wp:docPr id="38963448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w:t>
            </w:r>
            <w:r w:rsidR="48BE3D4A">
              <w:t>C</w:t>
            </w:r>
            <w:r w:rsidR="4C5CA6B6">
              <w:t>learly defined workflow for</w:t>
            </w:r>
            <w:r w:rsidR="605A3533">
              <w:t xml:space="preserve"> mild, moderate, and severe</w:t>
            </w:r>
            <w:r w:rsidR="4C5CA6B6">
              <w:t xml:space="preserve"> acuity levels </w:t>
            </w:r>
            <w:r w:rsidR="2B98FF28">
              <w:t>(e.g.,</w:t>
            </w:r>
            <w:r w:rsidR="4C5CA6B6">
              <w:t xml:space="preserve"> SBIRT</w:t>
            </w:r>
            <w:r w:rsidR="39BD99FC">
              <w:t xml:space="preserve">, </w:t>
            </w:r>
            <w:hyperlink w:history="1" w:anchor="_Readiness_for_Change">
              <w:r w:rsidRPr="708FC2E1" w:rsidR="39BD99FC">
                <w:rPr>
                  <w:rStyle w:val="Hyperlink"/>
                </w:rPr>
                <w:t>Stages of Change</w:t>
              </w:r>
            </w:hyperlink>
            <w:r w:rsidR="5A4A0FB1">
              <w:t>)</w:t>
            </w:r>
            <w:r w:rsidR="4C5CA6B6">
              <w:t>. Indicates use of MAT if applicable to the practice capabilities</w:t>
            </w:r>
            <w:r w:rsidR="0B84FE31">
              <w:t>.</w:t>
            </w:r>
          </w:p>
          <w:p w:rsidR="3C135356" w:rsidP="708FC2E1" w:rsidRDefault="3C135356" w14:paraId="2EE5001D" w14:textId="3F5BCAA1">
            <w:r>
              <w:rPr>
                <w:noProof/>
              </w:rPr>
              <mc:AlternateContent>
                <mc:Choice Requires="wps">
                  <w:drawing>
                    <wp:inline distT="0" distB="0" distL="0" distR="0" wp14:anchorId="4CF4FE77" wp14:editId="5A4E09C9">
                      <wp:extent cx="141556" cy="135620"/>
                      <wp:effectExtent l="0" t="0" r="0" b="0"/>
                      <wp:docPr id="41587202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Outlines crisis response expectations</w:t>
            </w:r>
          </w:p>
          <w:p w:rsidR="708FC2E1" w:rsidP="708FC2E1" w:rsidRDefault="708FC2E1" w14:paraId="70C66149" w14:textId="1EDE8F7E">
            <w:r>
              <w:rPr>
                <w:noProof/>
              </w:rPr>
              <mc:AlternateContent>
                <mc:Choice Requires="wps">
                  <w:drawing>
                    <wp:inline distT="0" distB="0" distL="0" distR="0" wp14:anchorId="5116F5A0" wp14:editId="763A48CA">
                      <wp:extent cx="141556" cy="135620"/>
                      <wp:effectExtent l="0" t="0" r="0" b="0"/>
                      <wp:docPr id="146269964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Cultural considerations are outlined in the protocol</w:t>
            </w:r>
          </w:p>
          <w:p w:rsidR="708FC2E1" w:rsidP="708FC2E1" w:rsidRDefault="708FC2E1" w14:paraId="392F10E9" w14:textId="14A44452"/>
        </w:tc>
      </w:tr>
      <w:tr w:rsidR="708FC2E1" w:rsidTr="76A10730" w14:paraId="291936D0" w14:textId="77777777">
        <w:trPr>
          <w:trHeight w:val="638"/>
        </w:trPr>
        <w:tc>
          <w:tcPr>
            <w:tcW w:w="3240" w:type="dxa"/>
            <w:tcMar/>
          </w:tcPr>
          <w:p w:rsidR="708FC2E1" w:rsidP="708FC2E1" w:rsidRDefault="708FC2E1" w14:paraId="191D6A2B" w14:textId="38EB3FAD">
            <w:pPr>
              <w:rPr>
                <w:rFonts w:ascii="Aptos" w:hAnsi="Aptos" w:eastAsia="Aptos" w:cs="Aptos"/>
                <w:b/>
                <w:bCs/>
                <w:sz w:val="24"/>
                <w:szCs w:val="24"/>
              </w:rPr>
            </w:pPr>
            <w:r w:rsidRPr="708FC2E1">
              <w:rPr>
                <w:rFonts w:ascii="Aptos" w:hAnsi="Aptos" w:eastAsia="Aptos" w:cs="Aptos"/>
                <w:b/>
                <w:bCs/>
                <w:sz w:val="24"/>
                <w:szCs w:val="24"/>
              </w:rPr>
              <w:t>Screening Documentation &amp; Storage</w:t>
            </w:r>
          </w:p>
        </w:tc>
        <w:tc>
          <w:tcPr>
            <w:tcW w:w="9828" w:type="dxa"/>
            <w:tcMar/>
          </w:tcPr>
          <w:p w:rsidR="708FC2E1" w:rsidP="708FC2E1" w:rsidRDefault="708FC2E1" w14:paraId="3F46C474" w14:textId="36044BFC">
            <w:r>
              <w:rPr>
                <w:noProof/>
              </w:rPr>
              <mc:AlternateContent>
                <mc:Choice Requires="wps">
                  <w:drawing>
                    <wp:inline distT="0" distB="0" distL="0" distR="0" wp14:anchorId="4545F63A" wp14:editId="415C347F">
                      <wp:extent cx="141556" cy="135620"/>
                      <wp:effectExtent l="0" t="0" r="0" b="0"/>
                      <wp:docPr id="55953116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I</w:t>
            </w:r>
            <w:r w:rsidRPr="708FC2E1">
              <w:rPr>
                <w:rFonts w:ascii="Aptos" w:hAnsi="Aptos" w:eastAsia="Aptos" w:cs="Aptos"/>
              </w:rPr>
              <w:t xml:space="preserve">ndicates where the data will be </w:t>
            </w:r>
            <w:proofErr w:type="gramStart"/>
            <w:r w:rsidRPr="708FC2E1">
              <w:rPr>
                <w:rFonts w:ascii="Aptos" w:hAnsi="Aptos" w:eastAsia="Aptos" w:cs="Aptos"/>
              </w:rPr>
              <w:t>stored  (</w:t>
            </w:r>
            <w:proofErr w:type="gramEnd"/>
            <w:r w:rsidRPr="708FC2E1">
              <w:rPr>
                <w:rFonts w:ascii="Aptos" w:hAnsi="Aptos" w:eastAsia="Aptos" w:cs="Aptos"/>
              </w:rPr>
              <w:t xml:space="preserve">e.g., structured EHR fields, manual tracking, a population health platform, </w:t>
            </w:r>
            <w:proofErr w:type="gramStart"/>
            <w:r w:rsidRPr="708FC2E1">
              <w:rPr>
                <w:rFonts w:ascii="Aptos" w:hAnsi="Aptos" w:eastAsia="Aptos" w:cs="Aptos"/>
              </w:rPr>
              <w:t>etc. )</w:t>
            </w:r>
            <w:proofErr w:type="gramEnd"/>
          </w:p>
          <w:p w:rsidR="708FC2E1" w:rsidP="708FC2E1" w:rsidRDefault="708FC2E1" w14:paraId="2E65E3A9" w14:textId="560F2707">
            <w:pPr>
              <w:rPr>
                <w:rFonts w:ascii="Aptos" w:hAnsi="Aptos" w:eastAsia="Aptos" w:cs="Aptos"/>
              </w:rPr>
            </w:pPr>
            <w:r>
              <w:rPr>
                <w:noProof/>
              </w:rPr>
              <mc:AlternateContent>
                <mc:Choice Requires="wps">
                  <w:drawing>
                    <wp:inline distT="0" distB="0" distL="0" distR="0" wp14:anchorId="63BD5C85" wp14:editId="463444AF">
                      <wp:extent cx="141556" cy="135620"/>
                      <wp:effectExtent l="0" t="0" r="0" b="0"/>
                      <wp:docPr id="37443279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rsidRPr="708FC2E1">
              <w:rPr>
                <w:rFonts w:ascii="Aptos" w:hAnsi="Aptos" w:eastAsia="Aptos" w:cs="Aptos"/>
              </w:rPr>
              <w:t xml:space="preserve"> Documentation standards are clearly outlined.   </w:t>
            </w:r>
          </w:p>
        </w:tc>
      </w:tr>
      <w:tr w:rsidR="708FC2E1" w:rsidTr="76A10730" w14:paraId="218E5F10" w14:textId="77777777">
        <w:trPr>
          <w:trHeight w:val="638"/>
        </w:trPr>
        <w:tc>
          <w:tcPr>
            <w:tcW w:w="3240" w:type="dxa"/>
            <w:tcMar/>
          </w:tcPr>
          <w:p w:rsidR="708FC2E1" w:rsidP="708FC2E1" w:rsidRDefault="708FC2E1" w14:paraId="464F891A" w14:textId="269A40AA">
            <w:pPr>
              <w:rPr>
                <w:rFonts w:ascii="Aptos" w:hAnsi="Aptos" w:eastAsia="Aptos" w:cs="Aptos"/>
                <w:sz w:val="24"/>
                <w:szCs w:val="24"/>
              </w:rPr>
            </w:pPr>
            <w:r w:rsidRPr="708FC2E1">
              <w:rPr>
                <w:rFonts w:ascii="Aptos" w:hAnsi="Aptos" w:eastAsia="Aptos" w:cs="Aptos"/>
                <w:b/>
                <w:bCs/>
                <w:sz w:val="24"/>
                <w:szCs w:val="24"/>
              </w:rPr>
              <w:t>Referral process</w:t>
            </w:r>
          </w:p>
        </w:tc>
        <w:tc>
          <w:tcPr>
            <w:tcW w:w="9828" w:type="dxa"/>
            <w:tcMar/>
          </w:tcPr>
          <w:p w:rsidR="708FC2E1" w:rsidP="708FC2E1" w:rsidRDefault="708FC2E1" w14:paraId="02DF4B5D" w14:textId="53C4B04A">
            <w:r>
              <w:rPr>
                <w:noProof/>
              </w:rPr>
              <mc:AlternateContent>
                <mc:Choice Requires="wps">
                  <w:drawing>
                    <wp:inline distT="0" distB="0" distL="0" distR="0" wp14:anchorId="3CA4CEF6" wp14:editId="1B6E6686">
                      <wp:extent cx="141556" cy="135620"/>
                      <wp:effectExtent l="0" t="0" r="0" b="0"/>
                      <wp:docPr id="210401484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Includes specific </w:t>
            </w:r>
            <w:r w:rsidR="61992852">
              <w:t xml:space="preserve">SUD </w:t>
            </w:r>
            <w:r>
              <w:t xml:space="preserve">resources in the service area. Practices that do not have in-house </w:t>
            </w:r>
            <w:r w:rsidR="46FB1ADB">
              <w:t xml:space="preserve">SUD </w:t>
            </w:r>
            <w:r>
              <w:t xml:space="preserve">should indicate partners and/or use of closed loop referral system (e.g., </w:t>
            </w:r>
            <w:proofErr w:type="spellStart"/>
            <w:r>
              <w:t>FindHelp</w:t>
            </w:r>
            <w:proofErr w:type="spellEnd"/>
            <w:r>
              <w:t xml:space="preserve">) to respond to behavioral health needs.  </w:t>
            </w:r>
          </w:p>
          <w:p w:rsidR="708FC2E1" w:rsidP="708FC2E1" w:rsidRDefault="708FC2E1" w14:paraId="26950CFF" w14:textId="756B2CAA">
            <w:r>
              <w:rPr>
                <w:noProof/>
              </w:rPr>
              <mc:AlternateContent>
                <mc:Choice Requires="wps">
                  <w:drawing>
                    <wp:inline distT="0" distB="0" distL="0" distR="0" wp14:anchorId="7C8FCCBE" wp14:editId="0D3B3766">
                      <wp:extent cx="141556" cy="135620"/>
                      <wp:effectExtent l="0" t="0" r="0" b="0"/>
                      <wp:docPr id="59124435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Defines how referrals are initiated, tracked, and monitored for a closed loop outcome.</w:t>
            </w:r>
          </w:p>
          <w:p w:rsidR="708FC2E1" w:rsidP="708FC2E1" w:rsidRDefault="061CC79C" w14:paraId="62C6E77B" w14:textId="0E4DBFB5">
            <w:r w:rsidR="061CC79C">
              <mc:AlternateContent>
                <mc:Choice Requires="wps">
                  <w:drawing>
                    <wp:inline wp14:editId="7EBB5EB1" wp14:anchorId="4100B5F5">
                      <wp:extent cx="141556" cy="135620"/>
                      <wp:effectExtent l="0" t="0" r="0" b="0"/>
                      <wp:docPr id="234950822"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141556" cy="13562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wps:spPr>
                            <wps: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rgbClr r="0" g="0" b="0"/>
                              </a:effectRef>
                              <a:fontRef xmlns:a="http://schemas.openxmlformats.org/drawingml/2006/main" idx="minor">
                                <a:schemeClr val="lt1"/>
                              </a:fontRef>
                            </wps:style>
                            <wps:bodyPr anchor="ctr"/>
                          </wps:wsp>
                        </a:graphicData>
                      </a:graphic>
                    </wp:inline>
                  </w:drawing>
                </mc:Choice>
                <mc:Fallback/>
              </mc:AlternateContent>
            </w:r>
            <w:r w:rsidR="061CC79C">
              <w:rPr/>
              <w:t xml:space="preserve"> Workflow </w:t>
            </w:r>
            <w:r w:rsidR="2A1010A9">
              <w:rPr/>
              <w:t>embeds motivational interviewing approaches, assessment of</w:t>
            </w:r>
            <w:r w:rsidR="377E82DA">
              <w:rPr/>
              <w:t xml:space="preserve"> patient</w:t>
            </w:r>
            <w:r w:rsidR="2A1010A9">
              <w:rPr/>
              <w:t xml:space="preserve"> </w:t>
            </w:r>
            <w:r>
              <w:fldChar w:fldCharType="begin"/>
            </w:r>
            <w:r>
              <w:instrText xml:space="preserve">HYPERLINK  \l "_Readiness_for_Change"</w:instrText>
            </w:r>
            <w:r>
              <w:fldChar w:fldCharType="separate"/>
            </w:r>
            <w:r w:rsidRPr="76A10730" w:rsidR="2A1010A9">
              <w:rPr>
                <w:rStyle w:val="Hyperlink"/>
              </w:rPr>
              <w:t>readiness for change/stage</w:t>
            </w:r>
            <w:r>
              <w:fldChar w:fldCharType="end"/>
            </w:r>
            <w:r w:rsidR="2A1010A9">
              <w:rPr/>
              <w:t xml:space="preserve"> of change to </w:t>
            </w:r>
            <w:r w:rsidR="7DEEA935">
              <w:rPr/>
              <w:t xml:space="preserve">match the intervention(s) to the patient’s readiness. </w:t>
            </w:r>
          </w:p>
          <w:p w:rsidR="708FC2E1" w:rsidP="76A10730" w:rsidRDefault="061CC79C" w14:paraId="2E5EFDC5" w14:textId="5BD0E6B1">
            <w:pPr>
              <w:pStyle w:val="Normal"/>
            </w:pPr>
            <w:r w:rsidR="016EEEF2">
              <mc:AlternateContent>
                <mc:Choice Requires="wps">
                  <w:drawing>
                    <wp:inline wp14:editId="66361D6A" wp14:anchorId="3AA90479">
                      <wp:extent cx="141556" cy="135620"/>
                      <wp:effectExtent l="0" t="0" r="0" b="0"/>
                      <wp:docPr id="1970162517"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141556" cy="13562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wps:spPr>
                            <wps: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rgbClr r="0" g="0" b="0"/>
                              </a:effectRef>
                              <a:fontRef xmlns:a="http://schemas.openxmlformats.org/drawingml/2006/main" idx="minor">
                                <a:schemeClr val="lt1"/>
                              </a:fontRef>
                            </wps:style>
                            <wps:bodyPr anchor="ctr"/>
                          </wps:wsp>
                        </a:graphicData>
                      </a:graphic>
                    </wp:inline>
                  </w:drawing>
                </mc:Choice>
                <mc:Fallback/>
              </mc:AlternateContent>
            </w:r>
            <w:r w:rsidR="016EEEF2">
              <w:rPr/>
              <w:t xml:space="preserve"> </w:t>
            </w:r>
            <w:r w:rsidRPr="76A10730" w:rsidR="016EEEF2">
              <w:rPr>
                <w:rFonts w:ascii="Aptos" w:hAnsi="Aptos" w:eastAsia="Aptos" w:cs="Aptos"/>
                <w:noProof w:val="0"/>
                <w:sz w:val="22"/>
                <w:szCs w:val="22"/>
                <w:lang w:val="en-US"/>
              </w:rPr>
              <w:t xml:space="preserve">Workflow </w:t>
            </w:r>
            <w:r w:rsidRPr="76A10730" w:rsidR="016EEEF2">
              <w:rPr>
                <w:rFonts w:ascii="Aptos" w:hAnsi="Aptos" w:eastAsia="Aptos" w:cs="Aptos"/>
                <w:noProof w:val="0"/>
                <w:sz w:val="22"/>
                <w:szCs w:val="22"/>
                <w:lang w:val="en-US"/>
              </w:rPr>
              <w:t>demonstrates</w:t>
            </w:r>
            <w:r w:rsidRPr="76A10730" w:rsidR="016EEEF2">
              <w:rPr>
                <w:rFonts w:ascii="Aptos" w:hAnsi="Aptos" w:eastAsia="Aptos" w:cs="Aptos"/>
                <w:noProof w:val="0"/>
                <w:sz w:val="22"/>
                <w:szCs w:val="22"/>
                <w:lang w:val="en-US"/>
              </w:rPr>
              <w:t xml:space="preserve"> how positive screens at various risk levels (mild, moderate, high) correspond to clinical decision-making related to the referral workflow.</w:t>
            </w:r>
          </w:p>
        </w:tc>
      </w:tr>
      <w:tr w:rsidR="708FC2E1" w:rsidTr="76A10730" w14:paraId="53BC85C2" w14:textId="77777777">
        <w:trPr>
          <w:trHeight w:val="638"/>
        </w:trPr>
        <w:tc>
          <w:tcPr>
            <w:tcW w:w="3240" w:type="dxa"/>
            <w:tcMar/>
          </w:tcPr>
          <w:p w:rsidR="708FC2E1" w:rsidP="708FC2E1" w:rsidRDefault="708FC2E1" w14:paraId="0F6A9BDF" w14:textId="1C3EB046">
            <w:pPr>
              <w:rPr>
                <w:rFonts w:ascii="Aptos" w:hAnsi="Aptos" w:eastAsia="Aptos" w:cs="Aptos"/>
                <w:sz w:val="24"/>
                <w:szCs w:val="24"/>
              </w:rPr>
            </w:pPr>
            <w:r w:rsidRPr="708FC2E1">
              <w:rPr>
                <w:rFonts w:ascii="Aptos" w:hAnsi="Aptos" w:eastAsia="Aptos" w:cs="Aptos"/>
                <w:b/>
                <w:bCs/>
                <w:sz w:val="24"/>
                <w:szCs w:val="24"/>
              </w:rPr>
              <w:t>Training plan for staff</w:t>
            </w:r>
          </w:p>
        </w:tc>
        <w:tc>
          <w:tcPr>
            <w:tcW w:w="9828" w:type="dxa"/>
            <w:tcMar/>
          </w:tcPr>
          <w:p w:rsidR="708FC2E1" w:rsidP="708FC2E1" w:rsidRDefault="708FC2E1" w14:paraId="5614780C" w14:textId="7EE8EE38">
            <w:r>
              <w:rPr>
                <w:noProof/>
              </w:rPr>
              <mc:AlternateContent>
                <mc:Choice Requires="wps">
                  <w:drawing>
                    <wp:inline distT="0" distB="0" distL="0" distR="0" wp14:anchorId="42208B41" wp14:editId="4D182973">
                      <wp:extent cx="141556" cy="135620"/>
                      <wp:effectExtent l="0" t="0" r="0" b="0"/>
                      <wp:docPr id="2304474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Defines a training protocol that indicates who is trained, how often staff are trained (e.g. onboarding, annual), describes the training approach/materials, and how training is tracked and monitored for fidelity.  </w:t>
            </w:r>
          </w:p>
          <w:p w:rsidR="708FC2E1" w:rsidP="708FC2E1" w:rsidRDefault="4B1F152C" w14:paraId="1F85C906" w14:textId="40E6B5F2">
            <w:r>
              <w:rPr>
                <w:noProof/>
              </w:rPr>
              <mc:AlternateContent>
                <mc:Choice Requires="wps">
                  <w:drawing>
                    <wp:inline distT="0" distB="0" distL="0" distR="0" wp14:anchorId="2A8E9CA2" wp14:editId="349DC11B">
                      <wp:extent cx="141556" cy="135620"/>
                      <wp:effectExtent l="0" t="0" r="0" b="0"/>
                      <wp:docPr id="184229148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t xml:space="preserve"> Training includes best practices including but not limited to Motivational Interviewing, SBIRT, SUD stigma/harm reduction approaches, etc. </w:t>
            </w:r>
          </w:p>
        </w:tc>
      </w:tr>
    </w:tbl>
    <w:p w:rsidR="07EA80C5" w:rsidRDefault="07EA80C5" w14:paraId="63530726" w14:textId="64156FAE"/>
    <w:p w:rsidR="00B519B2" w:rsidP="708FC2E1" w:rsidRDefault="5D6B7F1A" w14:paraId="31130A1A" w14:textId="2BDD2334">
      <w:pPr>
        <w:spacing w:before="240" w:beforeAutospacing="1" w:after="240" w:afterAutospacing="1" w:line="257" w:lineRule="auto"/>
        <w:rPr>
          <w:rFonts w:ascii="Aptos" w:hAnsi="Aptos" w:eastAsiaTheme="minorEastAsia"/>
          <w:b/>
          <w:bCs/>
          <w:sz w:val="24"/>
          <w:szCs w:val="24"/>
        </w:rPr>
      </w:pPr>
      <w:r w:rsidRPr="708FC2E1">
        <w:rPr>
          <w:rStyle w:val="Heading2Char"/>
          <w:b/>
          <w:bCs/>
        </w:rPr>
        <w:t xml:space="preserve">Question </w:t>
      </w:r>
      <w:r w:rsidRPr="708FC2E1" w:rsidR="4DF1B761">
        <w:rPr>
          <w:rStyle w:val="Heading2Char"/>
          <w:b/>
          <w:bCs/>
        </w:rPr>
        <w:t>3</w:t>
      </w:r>
      <w:r w:rsidRPr="708FC2E1">
        <w:rPr>
          <w:rStyle w:val="Heading2Char"/>
          <w:b/>
          <w:bCs/>
        </w:rPr>
        <w:t xml:space="preserve">: </w:t>
      </w:r>
      <w:r w:rsidRPr="708FC2E1" w:rsidR="00B519B2">
        <w:rPr>
          <w:rStyle w:val="Heading2Char"/>
          <w:b/>
          <w:bCs/>
        </w:rPr>
        <w:t>Evidence of Implementation:</w:t>
      </w:r>
      <w:r w:rsidRPr="708FC2E1" w:rsidR="00B519B2">
        <w:rPr>
          <w:rFonts w:ascii="Aptos" w:hAnsi="Aptos" w:eastAsiaTheme="minorEastAsia"/>
          <w:kern w:val="0"/>
          <w:sz w:val="24"/>
          <w:szCs w:val="24"/>
          <w14:ligatures w14:val="none"/>
        </w:rPr>
        <w:t xml:space="preserve"> </w:t>
      </w:r>
    </w:p>
    <w:p w:rsidR="00B519B2" w:rsidP="708FC2E1" w:rsidRDefault="5C84FA08" w14:paraId="7BC2988E" w14:textId="009A61C4">
      <w:pPr>
        <w:spacing w:before="240" w:after="240" w:line="257" w:lineRule="auto"/>
        <w:rPr>
          <w:rFonts w:ascii="Aptos" w:hAnsi="Aptos" w:eastAsia="Aptos" w:cs="Aptos"/>
          <w:b/>
          <w:bCs/>
          <w:color w:val="215E99" w:themeColor="text2" w:themeTint="BF"/>
          <w:sz w:val="28"/>
          <w:szCs w:val="28"/>
        </w:rPr>
      </w:pPr>
      <w:r w:rsidRPr="708FC2E1">
        <w:rPr>
          <w:rFonts w:ascii="Aptos" w:hAnsi="Aptos" w:eastAsia="Aptos" w:cs="Aptos"/>
          <w:b/>
          <w:bCs/>
          <w:color w:val="215E99" w:themeColor="text2" w:themeTint="BF"/>
          <w:sz w:val="28"/>
          <w:szCs w:val="28"/>
        </w:rPr>
        <w:t>What You Need to Do</w:t>
      </w:r>
    </w:p>
    <w:p w:rsidR="00B519B2" w:rsidP="708FC2E1" w:rsidRDefault="5C84FA08" w14:paraId="41422909" w14:textId="05E4AF07">
      <w:pPr>
        <w:spacing w:before="240" w:after="240" w:line="257" w:lineRule="auto"/>
        <w:rPr>
          <w:rFonts w:ascii="Aptos" w:hAnsi="Aptos" w:eastAsia="Aptos" w:cs="Aptos"/>
          <w:color w:val="000000" w:themeColor="text1"/>
          <w:sz w:val="24"/>
          <w:szCs w:val="24"/>
        </w:rPr>
      </w:pPr>
      <w:r w:rsidRPr="07EA80C5">
        <w:rPr>
          <w:rFonts w:ascii="Aptos" w:hAnsi="Aptos" w:eastAsia="Aptos" w:cs="Aptos"/>
          <w:color w:val="000000" w:themeColor="text1"/>
          <w:sz w:val="24"/>
          <w:szCs w:val="24"/>
        </w:rPr>
        <w:t xml:space="preserve">List at least </w:t>
      </w:r>
      <w:r w:rsidRPr="07EA80C5">
        <w:rPr>
          <w:rFonts w:ascii="Aptos" w:hAnsi="Aptos" w:eastAsia="Aptos" w:cs="Aptos"/>
          <w:b/>
          <w:bCs/>
          <w:color w:val="000000" w:themeColor="text1"/>
          <w:sz w:val="24"/>
          <w:szCs w:val="24"/>
        </w:rPr>
        <w:t>two new actions implemented since the start of EPT</w:t>
      </w:r>
      <w:r w:rsidRPr="07EA80C5" w:rsidR="4AD069AF">
        <w:rPr>
          <w:rFonts w:ascii="Aptos" w:hAnsi="Aptos" w:eastAsia="Aptos" w:cs="Aptos"/>
          <w:b/>
          <w:bCs/>
          <w:color w:val="000000" w:themeColor="text1"/>
          <w:sz w:val="24"/>
          <w:szCs w:val="24"/>
        </w:rPr>
        <w:t xml:space="preserve"> </w:t>
      </w:r>
      <w:r w:rsidRPr="07EA80C5" w:rsidR="2A947C69">
        <w:rPr>
          <w:rFonts w:ascii="Aptos" w:hAnsi="Aptos" w:eastAsia="Aptos" w:cs="Aptos"/>
          <w:b/>
          <w:bCs/>
          <w:color w:val="000000" w:themeColor="text1"/>
          <w:sz w:val="24"/>
          <w:szCs w:val="24"/>
        </w:rPr>
        <w:t xml:space="preserve">and completed </w:t>
      </w:r>
      <w:r w:rsidRPr="07EA80C5" w:rsidR="4AD069AF">
        <w:rPr>
          <w:rFonts w:ascii="Aptos" w:hAnsi="Aptos" w:eastAsia="Aptos" w:cs="Aptos"/>
          <w:b/>
          <w:bCs/>
          <w:color w:val="000000" w:themeColor="text1"/>
          <w:sz w:val="24"/>
          <w:szCs w:val="24"/>
        </w:rPr>
        <w:t xml:space="preserve">by </w:t>
      </w:r>
      <w:r w:rsidRPr="07EA80C5" w:rsidR="6689AF65">
        <w:rPr>
          <w:rFonts w:ascii="Aptos" w:hAnsi="Aptos" w:eastAsia="Aptos" w:cs="Aptos"/>
          <w:b/>
          <w:bCs/>
          <w:color w:val="000000" w:themeColor="text1"/>
          <w:sz w:val="24"/>
          <w:szCs w:val="24"/>
        </w:rPr>
        <w:t xml:space="preserve">the </w:t>
      </w:r>
      <w:r w:rsidRPr="07EA80C5" w:rsidR="4AD069AF">
        <w:rPr>
          <w:rFonts w:ascii="Aptos" w:hAnsi="Aptos" w:eastAsia="Aptos" w:cs="Aptos"/>
          <w:b/>
          <w:bCs/>
          <w:color w:val="000000" w:themeColor="text1"/>
          <w:sz w:val="24"/>
          <w:szCs w:val="24"/>
        </w:rPr>
        <w:t>November 2026</w:t>
      </w:r>
      <w:r w:rsidRPr="07EA80C5" w:rsidR="469AD5D0">
        <w:rPr>
          <w:rFonts w:ascii="Aptos" w:hAnsi="Aptos" w:eastAsia="Aptos" w:cs="Aptos"/>
          <w:b/>
          <w:bCs/>
          <w:color w:val="000000" w:themeColor="text1"/>
          <w:sz w:val="24"/>
          <w:szCs w:val="24"/>
        </w:rPr>
        <w:t xml:space="preserve"> submission deadline</w:t>
      </w:r>
      <w:r w:rsidRPr="07EA80C5">
        <w:rPr>
          <w:rFonts w:ascii="Aptos" w:hAnsi="Aptos" w:eastAsia="Aptos" w:cs="Aptos"/>
          <w:b/>
          <w:bCs/>
          <w:color w:val="000000" w:themeColor="text1"/>
          <w:sz w:val="24"/>
          <w:szCs w:val="24"/>
        </w:rPr>
        <w:t>—one for depression and one for SUD.</w:t>
      </w:r>
      <w:r w:rsidRPr="07EA80C5">
        <w:rPr>
          <w:rFonts w:ascii="Aptos" w:hAnsi="Aptos" w:eastAsia="Aptos" w:cs="Aptos"/>
          <w:color w:val="000000" w:themeColor="text1"/>
          <w:sz w:val="24"/>
          <w:szCs w:val="24"/>
        </w:rPr>
        <w:t xml:space="preserve"> Include dates, number of patients reached, and results observed.</w:t>
      </w:r>
      <w:r w:rsidRPr="07EA80C5" w:rsidR="1A9C3010">
        <w:rPr>
          <w:rFonts w:ascii="Aptos" w:hAnsi="Aptos" w:eastAsia="Aptos" w:cs="Aptos"/>
          <w:color w:val="000000" w:themeColor="text1"/>
          <w:sz w:val="24"/>
          <w:szCs w:val="24"/>
        </w:rPr>
        <w:t xml:space="preserve"> Small-scale pilots and PDSA cycles are acceptable. </w:t>
      </w:r>
    </w:p>
    <w:p w:rsidR="00B519B2" w:rsidP="708FC2E1" w:rsidRDefault="63711E79" w14:paraId="3BF8BD97" w14:textId="5A135360">
      <w:pPr>
        <w:spacing w:before="240" w:after="240" w:line="257" w:lineRule="auto"/>
        <w:rPr>
          <w:rFonts w:ascii="Aptos" w:hAnsi="Aptos" w:eastAsia="Aptos" w:cs="Aptos"/>
          <w:color w:val="000000" w:themeColor="text1"/>
          <w:sz w:val="24"/>
          <w:szCs w:val="24"/>
        </w:rPr>
      </w:pPr>
      <w:r w:rsidRPr="07EA80C5">
        <w:rPr>
          <w:rFonts w:ascii="Aptos" w:hAnsi="Aptos" w:eastAsia="Aptos" w:cs="Aptos"/>
          <w:color w:val="000000" w:themeColor="text1"/>
          <w:sz w:val="24"/>
          <w:szCs w:val="24"/>
        </w:rPr>
        <w:t xml:space="preserve">🟢 </w:t>
      </w:r>
      <w:r w:rsidRPr="07EA80C5" w:rsidR="13D176B8">
        <w:rPr>
          <w:rFonts w:ascii="Aptos" w:hAnsi="Aptos" w:eastAsia="Aptos" w:cs="Aptos"/>
          <w:b/>
          <w:bCs/>
          <w:color w:val="000000" w:themeColor="text1"/>
          <w:sz w:val="24"/>
          <w:szCs w:val="24"/>
        </w:rPr>
        <w:t>ACCEPTED</w:t>
      </w:r>
      <w:r w:rsidRPr="07EA80C5">
        <w:rPr>
          <w:rFonts w:ascii="Aptos" w:hAnsi="Aptos" w:eastAsia="Aptos" w:cs="Aptos"/>
          <w:b/>
          <w:bCs/>
          <w:color w:val="000000" w:themeColor="text1"/>
          <w:sz w:val="24"/>
          <w:szCs w:val="24"/>
        </w:rPr>
        <w:t xml:space="preserve">: </w:t>
      </w:r>
      <w:r w:rsidRPr="07EA80C5">
        <w:rPr>
          <w:rFonts w:ascii="Aptos" w:hAnsi="Aptos" w:eastAsia="Aptos" w:cs="Aptos"/>
          <w:color w:val="000000" w:themeColor="text1"/>
          <w:sz w:val="24"/>
          <w:szCs w:val="24"/>
        </w:rPr>
        <w:t>Two actions, each with (a) description, (b) date, (c) observed result (must be specific).</w:t>
      </w:r>
    </w:p>
    <w:p w:rsidR="00B519B2" w:rsidP="708FC2E1" w:rsidRDefault="63711E79" w14:paraId="00215B2B" w14:textId="41310AFD">
      <w:pPr>
        <w:spacing w:before="240" w:after="240" w:line="257" w:lineRule="auto"/>
        <w:rPr>
          <w:rFonts w:ascii="Aptos" w:hAnsi="Aptos" w:eastAsia="Aptos" w:cs="Aptos"/>
          <w:color w:val="000000" w:themeColor="text1"/>
          <w:sz w:val="24"/>
          <w:szCs w:val="24"/>
        </w:rPr>
      </w:pPr>
      <w:r w:rsidRPr="07EA80C5">
        <w:rPr>
          <w:rFonts w:ascii="Aptos" w:hAnsi="Aptos" w:eastAsia="Aptos" w:cs="Aptos"/>
          <w:color w:val="000000" w:themeColor="text1"/>
          <w:sz w:val="24"/>
          <w:szCs w:val="24"/>
        </w:rPr>
        <w:t xml:space="preserve">🔴 </w:t>
      </w:r>
      <w:r w:rsidRPr="07EA80C5" w:rsidR="229D5A94">
        <w:rPr>
          <w:rFonts w:ascii="Aptos" w:hAnsi="Aptos" w:eastAsia="Aptos" w:cs="Aptos"/>
          <w:b/>
          <w:bCs/>
          <w:color w:val="000000" w:themeColor="text1"/>
          <w:sz w:val="24"/>
          <w:szCs w:val="24"/>
        </w:rPr>
        <w:t>NOT ACCEPTED</w:t>
      </w:r>
      <w:r w:rsidRPr="07EA80C5">
        <w:rPr>
          <w:rFonts w:ascii="Aptos" w:hAnsi="Aptos" w:eastAsia="Aptos" w:cs="Aptos"/>
          <w:b/>
          <w:bCs/>
          <w:color w:val="000000" w:themeColor="text1"/>
          <w:sz w:val="24"/>
          <w:szCs w:val="24"/>
        </w:rPr>
        <w:t xml:space="preserve">: </w:t>
      </w:r>
      <w:r w:rsidRPr="07EA80C5">
        <w:rPr>
          <w:rFonts w:ascii="Aptos" w:hAnsi="Aptos" w:eastAsia="Aptos" w:cs="Aptos"/>
          <w:color w:val="000000" w:themeColor="text1"/>
          <w:sz w:val="24"/>
          <w:szCs w:val="24"/>
        </w:rPr>
        <w:t>Fewer than two actions</w:t>
      </w:r>
      <w:r w:rsidRPr="07EA80C5" w:rsidR="1DBD9F84">
        <w:rPr>
          <w:rFonts w:ascii="Aptos" w:hAnsi="Aptos" w:eastAsia="Aptos" w:cs="Aptos"/>
          <w:color w:val="000000" w:themeColor="text1"/>
          <w:sz w:val="24"/>
          <w:szCs w:val="24"/>
        </w:rPr>
        <w:t xml:space="preserve"> are listed </w:t>
      </w:r>
      <w:r w:rsidRPr="07EA80C5" w:rsidR="1DBD9F84">
        <w:rPr>
          <w:rFonts w:ascii="Aptos" w:hAnsi="Aptos" w:eastAsia="Aptos" w:cs="Aptos"/>
          <w:b/>
          <w:bCs/>
          <w:color w:val="000000" w:themeColor="text1"/>
          <w:sz w:val="24"/>
          <w:szCs w:val="24"/>
        </w:rPr>
        <w:t>OR</w:t>
      </w:r>
      <w:r w:rsidRPr="07EA80C5">
        <w:rPr>
          <w:rFonts w:ascii="Aptos" w:hAnsi="Aptos" w:eastAsia="Aptos" w:cs="Aptos"/>
          <w:b/>
          <w:bCs/>
          <w:color w:val="000000" w:themeColor="text1"/>
          <w:sz w:val="24"/>
          <w:szCs w:val="24"/>
        </w:rPr>
        <w:t>,</w:t>
      </w:r>
      <w:r w:rsidRPr="07EA80C5">
        <w:rPr>
          <w:rFonts w:ascii="Aptos" w:hAnsi="Aptos" w:eastAsia="Aptos" w:cs="Aptos"/>
          <w:color w:val="000000" w:themeColor="text1"/>
          <w:sz w:val="24"/>
          <w:szCs w:val="24"/>
        </w:rPr>
        <w:t xml:space="preserve"> missing dates, </w:t>
      </w:r>
      <w:r w:rsidRPr="07EA80C5" w:rsidR="6C4E67A9">
        <w:rPr>
          <w:rFonts w:ascii="Aptos" w:hAnsi="Aptos" w:eastAsia="Aptos" w:cs="Aptos"/>
          <w:b/>
          <w:bCs/>
          <w:color w:val="000000" w:themeColor="text1"/>
          <w:sz w:val="24"/>
          <w:szCs w:val="24"/>
        </w:rPr>
        <w:t>OR</w:t>
      </w:r>
      <w:r w:rsidRPr="07EA80C5">
        <w:rPr>
          <w:rFonts w:ascii="Aptos" w:hAnsi="Aptos" w:eastAsia="Aptos" w:cs="Aptos"/>
          <w:color w:val="000000" w:themeColor="text1"/>
          <w:sz w:val="24"/>
          <w:szCs w:val="24"/>
        </w:rPr>
        <w:t xml:space="preserve"> vague, non-specific qualitative results.</w:t>
      </w:r>
    </w:p>
    <w:tbl>
      <w:tblPr>
        <w:tblStyle w:val="TableGrid"/>
        <w:tblW w:w="13068" w:type="dxa"/>
        <w:tblLook w:val="04A0" w:firstRow="1" w:lastRow="0" w:firstColumn="1" w:lastColumn="0" w:noHBand="0" w:noVBand="1"/>
      </w:tblPr>
      <w:tblGrid>
        <w:gridCol w:w="3240"/>
        <w:gridCol w:w="9828"/>
      </w:tblGrid>
      <w:tr w:rsidR="708FC2E1" w:rsidTr="07EA80C5" w14:paraId="5550EC1F" w14:textId="77777777">
        <w:trPr>
          <w:trHeight w:val="638"/>
        </w:trPr>
        <w:tc>
          <w:tcPr>
            <w:tcW w:w="3240" w:type="dxa"/>
          </w:tcPr>
          <w:p w:rsidR="708FC2E1" w:rsidP="708FC2E1" w:rsidRDefault="708FC2E1" w14:paraId="24722889" w14:textId="707109E6">
            <w:pPr>
              <w:rPr>
                <w:rFonts w:ascii="Aptos" w:hAnsi="Aptos" w:eastAsiaTheme="minorEastAsia"/>
                <w:b/>
                <w:bCs/>
                <w:sz w:val="24"/>
                <w:szCs w:val="24"/>
              </w:rPr>
            </w:pPr>
            <w:r w:rsidRPr="708FC2E1">
              <w:rPr>
                <w:rFonts w:ascii="Aptos" w:hAnsi="Aptos" w:eastAsiaTheme="minorEastAsia"/>
                <w:b/>
                <w:bCs/>
                <w:sz w:val="24"/>
                <w:szCs w:val="24"/>
              </w:rPr>
              <w:t>Component</w:t>
            </w:r>
          </w:p>
        </w:tc>
        <w:tc>
          <w:tcPr>
            <w:tcW w:w="9828" w:type="dxa"/>
          </w:tcPr>
          <w:p w:rsidR="708FC2E1" w:rsidP="708FC2E1" w:rsidRDefault="708FC2E1" w14:paraId="14D016D3" w14:textId="2C6F7F9D">
            <w:pPr>
              <w:rPr>
                <w:rFonts w:ascii="Aptos" w:hAnsi="Aptos" w:eastAsiaTheme="minorEastAsia"/>
                <w:b/>
                <w:bCs/>
                <w:sz w:val="24"/>
                <w:szCs w:val="24"/>
              </w:rPr>
            </w:pPr>
            <w:r w:rsidRPr="708FC2E1">
              <w:rPr>
                <w:rFonts w:ascii="Aptos" w:hAnsi="Aptos" w:eastAsiaTheme="minorEastAsia"/>
                <w:b/>
                <w:bCs/>
                <w:sz w:val="24"/>
                <w:szCs w:val="24"/>
              </w:rPr>
              <w:t>Criterion</w:t>
            </w:r>
          </w:p>
        </w:tc>
      </w:tr>
      <w:tr w:rsidR="708FC2E1" w:rsidTr="07EA80C5" w14:paraId="338DFB77" w14:textId="77777777">
        <w:trPr>
          <w:trHeight w:val="638"/>
        </w:trPr>
        <w:tc>
          <w:tcPr>
            <w:tcW w:w="3240" w:type="dxa"/>
          </w:tcPr>
          <w:p w:rsidR="70B1A95F" w:rsidP="708FC2E1" w:rsidRDefault="70B1A95F" w14:paraId="158CFAF6" w14:textId="2C6A3345">
            <w:pPr>
              <w:spacing w:beforeAutospacing="1" w:afterAutospacing="1"/>
            </w:pPr>
            <w:r w:rsidRPr="708FC2E1">
              <w:rPr>
                <w:rFonts w:ascii="Aptos" w:hAnsi="Aptos" w:eastAsia="Aptos" w:cs="Aptos"/>
                <w:b/>
                <w:bCs/>
                <w:sz w:val="24"/>
                <w:szCs w:val="24"/>
              </w:rPr>
              <w:t>Implemented Actions</w:t>
            </w:r>
          </w:p>
          <w:p w:rsidR="708FC2E1" w:rsidP="708FC2E1" w:rsidRDefault="708FC2E1" w14:paraId="0CE7FD97" w14:textId="3E9E4C04">
            <w:pPr>
              <w:spacing w:beforeAutospacing="1" w:afterAutospacing="1"/>
              <w:rPr>
                <w:rFonts w:ascii="Aptos" w:hAnsi="Aptos" w:eastAsiaTheme="minorEastAsia"/>
                <w:sz w:val="24"/>
                <w:szCs w:val="24"/>
              </w:rPr>
            </w:pPr>
          </w:p>
        </w:tc>
        <w:tc>
          <w:tcPr>
            <w:tcW w:w="9828" w:type="dxa"/>
          </w:tcPr>
          <w:p w:rsidR="708FC2E1" w:rsidP="708FC2E1" w:rsidRDefault="708FC2E1" w14:paraId="1AAFE29A" w14:textId="68D85321">
            <w:r>
              <w:rPr>
                <w:noProof/>
              </w:rPr>
              <mc:AlternateContent>
                <mc:Choice Requires="wps">
                  <w:drawing>
                    <wp:inline distT="0" distB="0" distL="0" distR="0" wp14:anchorId="23FF9EA1" wp14:editId="281D388F">
                      <wp:extent cx="141556" cy="135620"/>
                      <wp:effectExtent l="0" t="0" r="0" b="0"/>
                      <wp:docPr id="211560079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w:t>
            </w:r>
            <w:r w:rsidR="745AD165">
              <w:t xml:space="preserve">A minimum of two actions </w:t>
            </w:r>
            <w:proofErr w:type="gramStart"/>
            <w:r w:rsidR="745AD165">
              <w:t>are</w:t>
            </w:r>
            <w:proofErr w:type="gramEnd"/>
            <w:r w:rsidR="745AD165">
              <w:t xml:space="preserve"> listed and each action is clearly described (e.g., our practice made multilingual PHQ-9s available in the client portal to be completed prior to the visit).  </w:t>
            </w:r>
          </w:p>
          <w:p w:rsidR="745AD165" w:rsidP="708FC2E1" w:rsidRDefault="745AD165" w14:paraId="56888C3E" w14:textId="56545DD1">
            <w:r>
              <w:rPr>
                <w:noProof/>
              </w:rPr>
              <mc:AlternateContent>
                <mc:Choice Requires="wps">
                  <w:drawing>
                    <wp:inline distT="0" distB="0" distL="0" distR="0" wp14:anchorId="2D71D4A9" wp14:editId="457B8005">
                      <wp:extent cx="141556" cy="135620"/>
                      <wp:effectExtent l="0" t="0" r="0" b="0"/>
                      <wp:docPr id="183210505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One action </w:t>
            </w:r>
            <w:proofErr w:type="gramStart"/>
            <w:r>
              <w:t>addresses</w:t>
            </w:r>
            <w:proofErr w:type="gramEnd"/>
            <w:r>
              <w:t xml:space="preserve"> Depression Screening</w:t>
            </w:r>
          </w:p>
          <w:p w:rsidR="745AD165" w:rsidP="708FC2E1" w:rsidRDefault="745AD165" w14:paraId="7F1711CB" w14:textId="17B527A7">
            <w:r>
              <w:rPr>
                <w:noProof/>
              </w:rPr>
              <mc:AlternateContent>
                <mc:Choice Requires="wps">
                  <w:drawing>
                    <wp:inline distT="0" distB="0" distL="0" distR="0" wp14:anchorId="00D2F078" wp14:editId="6753823B">
                      <wp:extent cx="141556" cy="135620"/>
                      <wp:effectExtent l="0" t="0" r="0" b="0"/>
                      <wp:docPr id="135462598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One action addresses SUD Screening</w:t>
            </w:r>
          </w:p>
          <w:p w:rsidR="708FC2E1" w:rsidP="708FC2E1" w:rsidRDefault="708FC2E1" w14:paraId="7A6ACD84" w14:textId="149FB9E9"/>
        </w:tc>
      </w:tr>
      <w:tr w:rsidR="708FC2E1" w:rsidTr="07EA80C5" w14:paraId="684CE74E" w14:textId="77777777">
        <w:trPr>
          <w:trHeight w:val="638"/>
        </w:trPr>
        <w:tc>
          <w:tcPr>
            <w:tcW w:w="3240" w:type="dxa"/>
          </w:tcPr>
          <w:p w:rsidR="60E4FDA7" w:rsidP="708FC2E1" w:rsidRDefault="60E4FDA7" w14:paraId="20C9C07F" w14:textId="6F2CE479">
            <w:r w:rsidRPr="708FC2E1">
              <w:rPr>
                <w:rFonts w:ascii="Aptos" w:hAnsi="Aptos" w:eastAsia="Aptos" w:cs="Aptos"/>
                <w:b/>
                <w:bCs/>
                <w:sz w:val="24"/>
                <w:szCs w:val="24"/>
              </w:rPr>
              <w:t>Date of Implementation Start</w:t>
            </w:r>
          </w:p>
        </w:tc>
        <w:tc>
          <w:tcPr>
            <w:tcW w:w="9828" w:type="dxa"/>
          </w:tcPr>
          <w:p w:rsidR="294E0C12" w:rsidP="708FC2E1" w:rsidRDefault="294E0C12" w14:paraId="74781299" w14:textId="15CD9CBC">
            <w:r>
              <w:rPr>
                <w:noProof/>
              </w:rPr>
              <mc:AlternateContent>
                <mc:Choice Requires="wps">
                  <w:drawing>
                    <wp:inline distT="0" distB="0" distL="0" distR="0" wp14:anchorId="5E508999" wp14:editId="16E652D0">
                      <wp:extent cx="141556" cy="135620"/>
                      <wp:effectExtent l="0" t="0" r="0" b="0"/>
                      <wp:docPr id="193752044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A specific date is provided for at least two actions. This date should not overlap with the baseline period.  </w:t>
            </w:r>
          </w:p>
          <w:p w:rsidR="708FC2E1" w:rsidP="708FC2E1" w:rsidRDefault="708FC2E1" w14:paraId="305FED5F" w14:textId="43D1FB7E"/>
        </w:tc>
      </w:tr>
      <w:tr w:rsidR="708FC2E1" w:rsidTr="07EA80C5" w14:paraId="7A2C50CB" w14:textId="77777777">
        <w:trPr>
          <w:trHeight w:val="638"/>
        </w:trPr>
        <w:tc>
          <w:tcPr>
            <w:tcW w:w="3240" w:type="dxa"/>
          </w:tcPr>
          <w:p w:rsidR="60E4FDA7" w:rsidP="708FC2E1" w:rsidRDefault="60E4FDA7" w14:paraId="51928A9F" w14:textId="401E2200">
            <w:pPr>
              <w:spacing w:beforeAutospacing="1" w:afterAutospacing="1"/>
            </w:pPr>
            <w:r w:rsidRPr="708FC2E1">
              <w:rPr>
                <w:rFonts w:ascii="Aptos" w:hAnsi="Aptos" w:eastAsia="Aptos" w:cs="Aptos"/>
                <w:b/>
                <w:bCs/>
                <w:sz w:val="24"/>
                <w:szCs w:val="24"/>
              </w:rPr>
              <w:t>Results Observed</w:t>
            </w:r>
          </w:p>
          <w:p w:rsidR="708FC2E1" w:rsidP="708FC2E1" w:rsidRDefault="708FC2E1" w14:paraId="445CB001" w14:textId="3761B5E6">
            <w:pPr>
              <w:rPr>
                <w:rFonts w:ascii="Aptos" w:hAnsi="Aptos" w:eastAsiaTheme="minorEastAsia"/>
                <w:b/>
                <w:bCs/>
                <w:sz w:val="24"/>
                <w:szCs w:val="24"/>
              </w:rPr>
            </w:pPr>
          </w:p>
        </w:tc>
        <w:tc>
          <w:tcPr>
            <w:tcW w:w="9828" w:type="dxa"/>
          </w:tcPr>
          <w:p w:rsidR="2FCFE4A5" w:rsidP="708FC2E1" w:rsidRDefault="2FCFE4A5" w14:paraId="71705189" w14:textId="3E646EC2">
            <w:r>
              <w:rPr>
                <w:noProof/>
              </w:rPr>
              <mc:AlternateContent>
                <mc:Choice Requires="wps">
                  <w:drawing>
                    <wp:inline distT="0" distB="0" distL="0" distR="0" wp14:anchorId="3A8BABF2" wp14:editId="1FBD7C46">
                      <wp:extent cx="141556" cy="135620"/>
                      <wp:effectExtent l="0" t="0" r="0" b="0"/>
                      <wp:docPr id="93692179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Each action has at least one observed result. (qualitative or quantitative).</w:t>
            </w:r>
          </w:p>
          <w:p w:rsidR="2FCFE4A5" w:rsidP="708FC2E1" w:rsidRDefault="2FCFE4A5" w14:paraId="11E46F39" w14:textId="7782FCDE">
            <w:r>
              <w:rPr>
                <w:noProof/>
              </w:rPr>
              <mc:AlternateContent>
                <mc:Choice Requires="wps">
                  <w:drawing>
                    <wp:inline distT="0" distB="0" distL="0" distR="0" wp14:anchorId="60504417" wp14:editId="0CEB552E">
                      <wp:extent cx="141556" cy="135620"/>
                      <wp:effectExtent l="0" t="0" r="0" b="0"/>
                      <wp:docPr id="56210471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Qualitative results are clear, narrative descriptions of the observed outcomes (e.g., “Medical assistants reported that the new screening workflow is easy to follow and integrates smoothly into patient intake,” or “Providers noted increased patient openness to discussing behavioral health concerns”—that illustrate the real-world impact of implementation with specific, concrete examples).  </w:t>
            </w:r>
          </w:p>
        </w:tc>
      </w:tr>
    </w:tbl>
    <w:p w:rsidR="07EA80C5" w:rsidRDefault="07EA80C5" w14:paraId="0421ACEB" w14:textId="1E0AD857"/>
    <w:p w:rsidR="708FC2E1" w:rsidP="708FC2E1" w:rsidRDefault="708FC2E1" w14:paraId="27AF7C43" w14:textId="6BFC5EA1"/>
    <w:p w:rsidRPr="00495138" w:rsidR="00AD419A" w:rsidP="708FC2E1" w:rsidRDefault="07635B9A" w14:paraId="274C4607" w14:textId="3137FC54">
      <w:pPr>
        <w:pStyle w:val="Heading3"/>
        <w:rPr>
          <w:b/>
          <w:bCs/>
        </w:rPr>
      </w:pPr>
      <w:r w:rsidRPr="07EA80C5">
        <w:rPr>
          <w:b/>
          <w:bCs/>
        </w:rPr>
        <w:t xml:space="preserve">Overall Milestone </w:t>
      </w:r>
      <w:r w:rsidRPr="07EA80C5" w:rsidR="2C1786A5">
        <w:rPr>
          <w:b/>
          <w:bCs/>
        </w:rPr>
        <w:t>Determination</w:t>
      </w:r>
    </w:p>
    <w:tbl>
      <w:tblPr>
        <w:tblStyle w:val="TableGrid"/>
        <w:tblW w:w="13068" w:type="dxa"/>
        <w:tblLook w:val="04A0" w:firstRow="1" w:lastRow="0" w:firstColumn="1" w:lastColumn="0" w:noHBand="0" w:noVBand="1"/>
      </w:tblPr>
      <w:tblGrid>
        <w:gridCol w:w="13068"/>
      </w:tblGrid>
      <w:tr w:rsidR="708FC2E1" w:rsidTr="07EA80C5" w14:paraId="3E700438" w14:textId="77777777">
        <w:trPr>
          <w:trHeight w:val="2025"/>
        </w:trPr>
        <w:tc>
          <w:tcPr>
            <w:tcW w:w="13068" w:type="dxa"/>
          </w:tcPr>
          <w:p w:rsidR="351EF99A" w:rsidP="708FC2E1" w:rsidRDefault="351EF99A" w14:paraId="57F17DF9" w14:textId="71CC84E6">
            <w:pPr>
              <w:rPr>
                <w:rFonts w:ascii="Aptos" w:hAnsi="Aptos" w:eastAsia="Aptos" w:cs="Aptos"/>
                <w:b/>
                <w:bCs/>
                <w:sz w:val="24"/>
                <w:szCs w:val="24"/>
              </w:rPr>
            </w:pPr>
            <w:r w:rsidRPr="07EA80C5">
              <w:rPr>
                <w:rFonts w:ascii="Aptos" w:hAnsi="Aptos" w:eastAsia="Aptos" w:cs="Aptos"/>
                <w:b/>
                <w:bCs/>
                <w:sz w:val="24"/>
                <w:szCs w:val="24"/>
              </w:rPr>
              <w:t>Overall Milestone</w:t>
            </w:r>
            <w:r w:rsidRPr="07EA80C5" w:rsidR="061CC79C">
              <w:rPr>
                <w:rFonts w:ascii="Aptos" w:hAnsi="Aptos" w:eastAsia="Aptos" w:cs="Aptos"/>
                <w:b/>
                <w:bCs/>
                <w:sz w:val="24"/>
                <w:szCs w:val="24"/>
              </w:rPr>
              <w:t xml:space="preserve"> </w:t>
            </w:r>
            <w:r w:rsidRPr="07EA80C5" w:rsidR="0DFC81BB">
              <w:rPr>
                <w:rFonts w:ascii="Aptos" w:hAnsi="Aptos" w:eastAsia="Aptos" w:cs="Aptos"/>
                <w:b/>
                <w:bCs/>
                <w:sz w:val="24"/>
                <w:szCs w:val="24"/>
              </w:rPr>
              <w:t>D</w:t>
            </w:r>
            <w:r w:rsidRPr="07EA80C5" w:rsidR="498558D1">
              <w:rPr>
                <w:rFonts w:ascii="Aptos" w:hAnsi="Aptos" w:eastAsia="Aptos" w:cs="Aptos"/>
                <w:b/>
                <w:bCs/>
                <w:sz w:val="24"/>
                <w:szCs w:val="24"/>
              </w:rPr>
              <w:t>e</w:t>
            </w:r>
            <w:r w:rsidRPr="07EA80C5" w:rsidR="0DFC81BB">
              <w:rPr>
                <w:rFonts w:ascii="Aptos" w:hAnsi="Aptos" w:eastAsia="Aptos" w:cs="Aptos"/>
                <w:b/>
                <w:bCs/>
                <w:sz w:val="24"/>
                <w:szCs w:val="24"/>
              </w:rPr>
              <w:t>termination</w:t>
            </w:r>
            <w:r w:rsidRPr="07EA80C5" w:rsidR="498558D1">
              <w:rPr>
                <w:rFonts w:ascii="Aptos" w:hAnsi="Aptos" w:eastAsia="Aptos" w:cs="Aptos"/>
                <w:b/>
                <w:bCs/>
                <w:sz w:val="24"/>
                <w:szCs w:val="24"/>
              </w:rPr>
              <w:t>:</w:t>
            </w:r>
          </w:p>
          <w:p w:rsidR="708FC2E1" w:rsidP="07EA80C5" w:rsidRDefault="0BA5769F" w14:paraId="6209C199" w14:textId="4DB269DA">
            <w:pPr>
              <w:spacing w:before="240" w:after="240"/>
            </w:pPr>
            <w:r w:rsidRPr="07EA80C5">
              <w:rPr>
                <w:rFonts w:ascii="Aptos" w:hAnsi="Aptos" w:eastAsia="Aptos" w:cs="Aptos"/>
              </w:rPr>
              <w:t xml:space="preserve">☐ ACCEPTED - Deliverable meets all requirements </w:t>
            </w:r>
          </w:p>
          <w:p w:rsidR="708FC2E1" w:rsidP="07EA80C5" w:rsidRDefault="0BA5769F" w14:paraId="59BB92EA" w14:textId="635ABFCC">
            <w:pPr>
              <w:spacing w:before="240" w:after="240"/>
            </w:pPr>
            <w:r w:rsidRPr="07EA80C5">
              <w:rPr>
                <w:rFonts w:ascii="Aptos" w:hAnsi="Aptos" w:eastAsia="Aptos" w:cs="Aptos"/>
              </w:rPr>
              <w:t xml:space="preserve">☐ NOT ACCEPTED - RESUBMIT THIS CYCLE - Revisions can be completed within current cycle timeline </w:t>
            </w:r>
          </w:p>
          <w:p w:rsidR="708FC2E1" w:rsidP="07EA80C5" w:rsidRDefault="0BA5769F" w14:paraId="570F85F9" w14:textId="7204D568">
            <w:pPr>
              <w:spacing w:before="240" w:after="240"/>
            </w:pPr>
            <w:r w:rsidRPr="07EA80C5">
              <w:rPr>
                <w:rFonts w:ascii="Aptos" w:hAnsi="Aptos" w:eastAsia="Aptos" w:cs="Aptos"/>
              </w:rPr>
              <w:t>☐ NOT ACCEPTED - RESUBMIT NEXT CYCLE - Substantial revisions needed requiring additional time</w:t>
            </w:r>
          </w:p>
          <w:p w:rsidR="708FC2E1" w:rsidP="07EA80C5" w:rsidRDefault="0BA5769F" w14:paraId="6D47DADA" w14:textId="7D467196">
            <w:pPr>
              <w:spacing w:before="240"/>
            </w:pPr>
            <w:r w:rsidRPr="07EA80C5">
              <w:rPr>
                <w:rFonts w:ascii="Aptos" w:hAnsi="Aptos" w:eastAsia="Aptos" w:cs="Aptos"/>
              </w:rPr>
              <w:t>If not accepted, general feedback will be provided in the portal comment box indicating which section(s) need revision.</w:t>
            </w:r>
          </w:p>
        </w:tc>
      </w:tr>
    </w:tbl>
    <w:p w:rsidR="708FC2E1" w:rsidP="708FC2E1" w:rsidRDefault="708FC2E1" w14:paraId="733AFA0E" w14:textId="5304945D">
      <w:pPr>
        <w:spacing w:beforeAutospacing="1" w:afterAutospacing="1" w:line="240" w:lineRule="auto"/>
        <w:outlineLvl w:val="2"/>
        <w:rPr>
          <w:rFonts w:ascii="Aptos" w:hAnsi="Aptos" w:eastAsiaTheme="minorEastAsia"/>
          <w:sz w:val="24"/>
          <w:szCs w:val="24"/>
        </w:rPr>
      </w:pPr>
    </w:p>
    <w:p w:rsidR="3EEF750D" w:rsidP="708FC2E1" w:rsidRDefault="3EEF750D" w14:paraId="212DC1AF" w14:textId="0F568BD4">
      <w:pPr>
        <w:pStyle w:val="Heading2"/>
        <w:rPr>
          <w:rFonts w:ascii="Aptos" w:hAnsi="Aptos" w:eastAsiaTheme="minorEastAsia"/>
          <w:b/>
          <w:bCs/>
          <w:color w:val="0B769F" w:themeColor="accent4" w:themeShade="BF"/>
          <w:sz w:val="24"/>
          <w:szCs w:val="24"/>
        </w:rPr>
      </w:pPr>
      <w:r w:rsidRPr="708FC2E1">
        <w:rPr>
          <w:b/>
          <w:bCs/>
        </w:rPr>
        <w:t>Appendix:</w:t>
      </w:r>
    </w:p>
    <w:p w:rsidR="76D703BF" w:rsidP="708FC2E1" w:rsidRDefault="76D703BF" w14:paraId="47B2B2F6" w14:textId="57689EE8">
      <w:pPr>
        <w:pStyle w:val="Heading3"/>
        <w:rPr>
          <w:rFonts w:ascii="Aptos" w:hAnsi="Aptos" w:eastAsiaTheme="minorEastAsia"/>
          <w:b/>
          <w:bCs/>
          <w:sz w:val="24"/>
          <w:szCs w:val="24"/>
        </w:rPr>
      </w:pPr>
      <w:r w:rsidRPr="708FC2E1">
        <w:rPr>
          <w:b/>
          <w:bCs/>
        </w:rPr>
        <w:t xml:space="preserve">Metric </w:t>
      </w:r>
      <w:r w:rsidRPr="708FC2E1" w:rsidR="3EEF750D">
        <w:rPr>
          <w:b/>
          <w:bCs/>
        </w:rPr>
        <w:t>Definitions</w:t>
      </w:r>
    </w:p>
    <w:p w:rsidR="0EDD223F" w:rsidP="00DB7A72" w:rsidRDefault="0EDD223F" w14:paraId="46088381" w14:textId="77AE8E78">
      <w:pPr>
        <w:pStyle w:val="ListParagraph"/>
        <w:numPr>
          <w:ilvl w:val="0"/>
          <w:numId w:val="6"/>
        </w:numPr>
        <w:spacing w:beforeAutospacing="1" w:afterAutospacing="1" w:line="240" w:lineRule="auto"/>
        <w:outlineLvl w:val="2"/>
        <w:rPr>
          <w:rFonts w:ascii="Aptos" w:hAnsi="Aptos" w:eastAsiaTheme="minorEastAsia"/>
          <w:sz w:val="24"/>
          <w:szCs w:val="24"/>
        </w:rPr>
      </w:pPr>
      <w:r w:rsidRPr="708FC2E1">
        <w:rPr>
          <w:rFonts w:ascii="Aptos" w:hAnsi="Aptos" w:eastAsiaTheme="minorEastAsia"/>
          <w:b/>
          <w:bCs/>
          <w:sz w:val="24"/>
          <w:szCs w:val="24"/>
        </w:rPr>
        <w:t>Positive Screen:</w:t>
      </w:r>
      <w:r w:rsidRPr="708FC2E1" w:rsidR="2014946B">
        <w:rPr>
          <w:rFonts w:ascii="Aptos" w:hAnsi="Aptos" w:eastAsiaTheme="minorEastAsia"/>
          <w:b/>
          <w:bCs/>
          <w:sz w:val="24"/>
          <w:szCs w:val="24"/>
        </w:rPr>
        <w:t xml:space="preserve"> </w:t>
      </w:r>
      <w:r w:rsidRPr="708FC2E1" w:rsidR="2014946B">
        <w:rPr>
          <w:rFonts w:ascii="Aptos" w:hAnsi="Aptos" w:eastAsiaTheme="minorEastAsia"/>
          <w:sz w:val="24"/>
          <w:szCs w:val="24"/>
        </w:rPr>
        <w:t xml:space="preserve">A positive screen is determined by </w:t>
      </w:r>
      <w:r w:rsidRPr="708FC2E1" w:rsidR="1C98B5DF">
        <w:rPr>
          <w:rFonts w:ascii="Aptos" w:hAnsi="Aptos" w:eastAsiaTheme="minorEastAsia"/>
          <w:sz w:val="24"/>
          <w:szCs w:val="24"/>
        </w:rPr>
        <w:t xml:space="preserve">the completion of a validated screening tool AND clinical assessment &amp; judgement </w:t>
      </w:r>
      <w:r w:rsidRPr="708FC2E1" w:rsidR="37780DDE">
        <w:rPr>
          <w:rFonts w:ascii="Aptos" w:hAnsi="Aptos" w:eastAsiaTheme="minorEastAsia"/>
          <w:sz w:val="24"/>
          <w:szCs w:val="24"/>
        </w:rPr>
        <w:t>from</w:t>
      </w:r>
      <w:r w:rsidRPr="708FC2E1" w:rsidR="1C98B5DF">
        <w:rPr>
          <w:rFonts w:ascii="Aptos" w:hAnsi="Aptos" w:eastAsiaTheme="minorEastAsia"/>
          <w:sz w:val="24"/>
          <w:szCs w:val="24"/>
        </w:rPr>
        <w:t xml:space="preserve"> the provider</w:t>
      </w:r>
      <w:r w:rsidRPr="708FC2E1" w:rsidR="2014946B">
        <w:rPr>
          <w:rFonts w:ascii="Aptos" w:hAnsi="Aptos" w:eastAsiaTheme="minorEastAsia"/>
          <w:sz w:val="24"/>
          <w:szCs w:val="24"/>
        </w:rPr>
        <w:t xml:space="preserve">. </w:t>
      </w:r>
      <w:r w:rsidRPr="708FC2E1" w:rsidR="6B575102">
        <w:rPr>
          <w:rFonts w:ascii="Aptos" w:hAnsi="Aptos" w:eastAsiaTheme="minorEastAsia"/>
          <w:sz w:val="24"/>
          <w:szCs w:val="24"/>
        </w:rPr>
        <w:t xml:space="preserve">Scoring guides can be found in the appendix to </w:t>
      </w:r>
      <w:r w:rsidRPr="708FC2E1" w:rsidR="26229D31">
        <w:rPr>
          <w:rFonts w:ascii="Aptos" w:hAnsi="Aptos" w:eastAsiaTheme="minorEastAsia"/>
          <w:sz w:val="24"/>
          <w:szCs w:val="24"/>
        </w:rPr>
        <w:t xml:space="preserve">inform </w:t>
      </w:r>
      <w:r w:rsidRPr="708FC2E1" w:rsidR="6B575102">
        <w:rPr>
          <w:rFonts w:ascii="Aptos" w:hAnsi="Aptos" w:eastAsiaTheme="minorEastAsia"/>
          <w:sz w:val="24"/>
          <w:szCs w:val="24"/>
        </w:rPr>
        <w:t xml:space="preserve">clinical decision-making in conducting the </w:t>
      </w:r>
      <w:r w:rsidRPr="708FC2E1" w:rsidR="2E9FD657">
        <w:rPr>
          <w:rFonts w:ascii="Aptos" w:hAnsi="Aptos" w:eastAsiaTheme="minorEastAsia"/>
          <w:sz w:val="24"/>
          <w:szCs w:val="24"/>
        </w:rPr>
        <w:t xml:space="preserve">assessment, </w:t>
      </w:r>
      <w:r w:rsidRPr="708FC2E1" w:rsidR="6B575102">
        <w:rPr>
          <w:rFonts w:ascii="Aptos" w:hAnsi="Aptos" w:eastAsiaTheme="minorEastAsia"/>
          <w:sz w:val="24"/>
          <w:szCs w:val="24"/>
        </w:rPr>
        <w:t>intervention</w:t>
      </w:r>
      <w:r w:rsidRPr="708FC2E1" w:rsidR="68993F4F">
        <w:rPr>
          <w:rFonts w:ascii="Aptos" w:hAnsi="Aptos" w:eastAsiaTheme="minorEastAsia"/>
          <w:sz w:val="24"/>
          <w:szCs w:val="24"/>
        </w:rPr>
        <w:t>/service,</w:t>
      </w:r>
      <w:r w:rsidRPr="708FC2E1" w:rsidR="6B575102">
        <w:rPr>
          <w:rFonts w:ascii="Aptos" w:hAnsi="Aptos" w:eastAsiaTheme="minorEastAsia"/>
          <w:sz w:val="24"/>
          <w:szCs w:val="24"/>
        </w:rPr>
        <w:t xml:space="preserve"> and referral, as applicable to the patient’s risk factors. </w:t>
      </w:r>
      <w:r w:rsidRPr="708FC2E1" w:rsidR="3D61B34E">
        <w:rPr>
          <w:rFonts w:ascii="Aptos" w:hAnsi="Aptos" w:eastAsiaTheme="minorEastAsia"/>
          <w:sz w:val="24"/>
          <w:szCs w:val="24"/>
        </w:rPr>
        <w:t xml:space="preserve">Note that a score </w:t>
      </w:r>
      <w:r w:rsidRPr="708FC2E1" w:rsidR="70F9F5E9">
        <w:rPr>
          <w:rFonts w:ascii="Aptos" w:hAnsi="Aptos" w:eastAsiaTheme="minorEastAsia"/>
          <w:sz w:val="24"/>
          <w:szCs w:val="24"/>
        </w:rPr>
        <w:t>above a</w:t>
      </w:r>
      <w:r w:rsidRPr="708FC2E1" w:rsidR="3D61B34E">
        <w:rPr>
          <w:rFonts w:ascii="Aptos" w:hAnsi="Aptos" w:eastAsiaTheme="minorEastAsia"/>
          <w:sz w:val="24"/>
          <w:szCs w:val="24"/>
        </w:rPr>
        <w:t xml:space="preserve"> zero may still warrant brief counseling or follow-up</w:t>
      </w:r>
      <w:r w:rsidRPr="708FC2E1" w:rsidR="42DF74EB">
        <w:rPr>
          <w:rFonts w:ascii="Aptos" w:hAnsi="Aptos" w:eastAsiaTheme="minorEastAsia"/>
          <w:sz w:val="24"/>
          <w:szCs w:val="24"/>
        </w:rPr>
        <w:t xml:space="preserve"> based on context and circumstances</w:t>
      </w:r>
      <w:r w:rsidRPr="708FC2E1" w:rsidR="3D61B34E">
        <w:rPr>
          <w:rFonts w:ascii="Aptos" w:hAnsi="Aptos" w:eastAsiaTheme="minorEastAsia"/>
          <w:sz w:val="24"/>
          <w:szCs w:val="24"/>
        </w:rPr>
        <w:t xml:space="preserve">. </w:t>
      </w:r>
    </w:p>
    <w:p w:rsidR="3EEF750D" w:rsidP="00DB7A72" w:rsidRDefault="3EEF750D" w14:paraId="24D5A8B1" w14:textId="31DC1368">
      <w:pPr>
        <w:pStyle w:val="ListParagraph"/>
        <w:numPr>
          <w:ilvl w:val="0"/>
          <w:numId w:val="6"/>
        </w:numPr>
        <w:spacing w:beforeAutospacing="1" w:afterAutospacing="1" w:line="240" w:lineRule="auto"/>
        <w:outlineLvl w:val="2"/>
        <w:rPr>
          <w:rFonts w:ascii="Aptos" w:hAnsi="Aptos" w:eastAsiaTheme="minorEastAsia"/>
          <w:sz w:val="24"/>
          <w:szCs w:val="24"/>
        </w:rPr>
      </w:pPr>
      <w:bookmarkStart w:name="_Positive_Screens_linked" w:id="5"/>
      <w:r w:rsidRPr="7CC23C82">
        <w:rPr>
          <w:rFonts w:ascii="Aptos" w:hAnsi="Aptos" w:eastAsiaTheme="minorEastAsia"/>
          <w:b/>
          <w:bCs/>
          <w:sz w:val="24"/>
          <w:szCs w:val="24"/>
        </w:rPr>
        <w:t xml:space="preserve">Positive Screens linked to services: </w:t>
      </w:r>
      <w:r w:rsidRPr="7CC23C82" w:rsidR="4AE77EB9">
        <w:rPr>
          <w:rFonts w:ascii="Aptos" w:hAnsi="Aptos" w:eastAsiaTheme="minorEastAsia"/>
          <w:sz w:val="24"/>
          <w:szCs w:val="24"/>
        </w:rPr>
        <w:t>This metric refers to the number of patients with a positive screen</w:t>
      </w:r>
      <w:r w:rsidRPr="7CC23C82" w:rsidR="77FFACD4">
        <w:rPr>
          <w:rFonts w:ascii="Aptos" w:hAnsi="Aptos" w:eastAsiaTheme="minorEastAsia"/>
          <w:sz w:val="24"/>
          <w:szCs w:val="24"/>
        </w:rPr>
        <w:t xml:space="preserve"> that</w:t>
      </w:r>
      <w:r w:rsidRPr="7CC23C82" w:rsidR="4AE77EB9">
        <w:rPr>
          <w:rFonts w:ascii="Aptos" w:hAnsi="Aptos" w:eastAsiaTheme="minorEastAsia"/>
          <w:sz w:val="24"/>
          <w:szCs w:val="24"/>
        </w:rPr>
        <w:t xml:space="preserve"> receives a</w:t>
      </w:r>
      <w:r w:rsidRPr="7CC23C82" w:rsidR="27A77634">
        <w:rPr>
          <w:rFonts w:ascii="Aptos" w:hAnsi="Aptos" w:eastAsiaTheme="minorEastAsia"/>
          <w:sz w:val="24"/>
          <w:szCs w:val="24"/>
        </w:rPr>
        <w:t>n intervention</w:t>
      </w:r>
      <w:r w:rsidRPr="7CC23C82" w:rsidR="4AE77EB9">
        <w:rPr>
          <w:rFonts w:ascii="Aptos" w:hAnsi="Aptos" w:eastAsiaTheme="minorEastAsia"/>
          <w:sz w:val="24"/>
          <w:szCs w:val="24"/>
        </w:rPr>
        <w:t xml:space="preserve"> and/or a referral to an internal or external </w:t>
      </w:r>
      <w:r w:rsidRPr="7CC23C82" w:rsidR="05F239FB">
        <w:rPr>
          <w:rFonts w:ascii="Aptos" w:hAnsi="Aptos" w:eastAsiaTheme="minorEastAsia"/>
          <w:sz w:val="24"/>
          <w:szCs w:val="24"/>
        </w:rPr>
        <w:t xml:space="preserve">resource. </w:t>
      </w:r>
      <w:r w:rsidRPr="7CC23C82" w:rsidR="63A25658">
        <w:rPr>
          <w:rFonts w:ascii="Aptos" w:hAnsi="Aptos" w:eastAsiaTheme="minorEastAsia"/>
          <w:sz w:val="24"/>
          <w:szCs w:val="24"/>
        </w:rPr>
        <w:t xml:space="preserve">It is recommended that providers engage patients in stage of change discussions and match the </w:t>
      </w:r>
      <w:r w:rsidRPr="7CC23C82" w:rsidR="6C3DFB8F">
        <w:rPr>
          <w:rFonts w:ascii="Aptos" w:hAnsi="Aptos" w:eastAsiaTheme="minorEastAsia"/>
          <w:sz w:val="24"/>
          <w:szCs w:val="24"/>
        </w:rPr>
        <w:t>services and</w:t>
      </w:r>
      <w:r w:rsidRPr="7CC23C82" w:rsidR="63A25658">
        <w:rPr>
          <w:rFonts w:ascii="Aptos" w:hAnsi="Aptos" w:eastAsiaTheme="minorEastAsia"/>
          <w:sz w:val="24"/>
          <w:szCs w:val="24"/>
        </w:rPr>
        <w:t>/</w:t>
      </w:r>
      <w:r w:rsidRPr="7CC23C82" w:rsidR="1B15BC47">
        <w:rPr>
          <w:rFonts w:ascii="Aptos" w:hAnsi="Aptos" w:eastAsiaTheme="minorEastAsia"/>
          <w:sz w:val="24"/>
          <w:szCs w:val="24"/>
        </w:rPr>
        <w:t xml:space="preserve">or </w:t>
      </w:r>
      <w:r w:rsidRPr="7CC23C82" w:rsidR="63A25658">
        <w:rPr>
          <w:rFonts w:ascii="Aptos" w:hAnsi="Aptos" w:eastAsiaTheme="minorEastAsia"/>
          <w:sz w:val="24"/>
          <w:szCs w:val="24"/>
        </w:rPr>
        <w:t>referral to the patient’s readiness</w:t>
      </w:r>
      <w:r w:rsidRPr="7CC23C82" w:rsidR="77107463">
        <w:rPr>
          <w:rFonts w:ascii="Aptos" w:hAnsi="Aptos" w:eastAsiaTheme="minorEastAsia"/>
          <w:sz w:val="24"/>
          <w:szCs w:val="24"/>
        </w:rPr>
        <w:t xml:space="preserve"> for change. </w:t>
      </w:r>
      <w:r w:rsidRPr="7CC23C82" w:rsidR="71CFABFC">
        <w:rPr>
          <w:rFonts w:ascii="Aptos" w:hAnsi="Aptos" w:eastAsiaTheme="minorEastAsia"/>
          <w:sz w:val="24"/>
          <w:szCs w:val="24"/>
        </w:rPr>
        <w:t>Examples of services include:</w:t>
      </w:r>
      <w:bookmarkEnd w:id="5"/>
    </w:p>
    <w:p w:rsidR="398C293F" w:rsidP="00DB7A72" w:rsidRDefault="398C293F" w14:paraId="280F4F15" w14:textId="716E80C6">
      <w:pPr>
        <w:pStyle w:val="ListParagraph"/>
        <w:numPr>
          <w:ilvl w:val="1"/>
          <w:numId w:val="6"/>
        </w:numPr>
        <w:spacing w:beforeAutospacing="1" w:afterAutospacing="1" w:line="240" w:lineRule="auto"/>
        <w:outlineLvl w:val="2"/>
        <w:rPr>
          <w:rFonts w:ascii="Aptos" w:hAnsi="Aptos" w:eastAsiaTheme="minorEastAsia"/>
          <w:sz w:val="24"/>
          <w:szCs w:val="24"/>
        </w:rPr>
      </w:pPr>
      <w:r w:rsidRPr="7CC23C82">
        <w:rPr>
          <w:rFonts w:ascii="Aptos" w:hAnsi="Aptos" w:eastAsiaTheme="minorEastAsia"/>
          <w:sz w:val="24"/>
          <w:szCs w:val="24"/>
        </w:rPr>
        <w:t>Depression Interventions</w:t>
      </w:r>
      <w:r w:rsidRPr="7CC23C82" w:rsidR="760B6123">
        <w:rPr>
          <w:rFonts w:ascii="Aptos" w:hAnsi="Aptos" w:eastAsiaTheme="minorEastAsia"/>
          <w:sz w:val="24"/>
          <w:szCs w:val="24"/>
        </w:rPr>
        <w:t>/Services</w:t>
      </w:r>
      <w:r w:rsidRPr="7CC23C82">
        <w:rPr>
          <w:rFonts w:ascii="Aptos" w:hAnsi="Aptos" w:eastAsiaTheme="minorEastAsia"/>
          <w:sz w:val="24"/>
          <w:szCs w:val="24"/>
        </w:rPr>
        <w:t>:</w:t>
      </w:r>
    </w:p>
    <w:p w:rsidR="17640B78" w:rsidP="00DB7A72" w:rsidRDefault="17640B78" w14:paraId="495F5769" w14:textId="58553210">
      <w:pPr>
        <w:pStyle w:val="ListParagraph"/>
        <w:numPr>
          <w:ilvl w:val="2"/>
          <w:numId w:val="6"/>
        </w:numPr>
        <w:spacing w:after="0" w:line="240" w:lineRule="auto"/>
        <w:rPr>
          <w:rFonts w:ascii="Aptos" w:hAnsi="Aptos" w:eastAsiaTheme="minorEastAsia"/>
          <w:sz w:val="24"/>
          <w:szCs w:val="24"/>
        </w:rPr>
      </w:pPr>
      <w:r w:rsidRPr="7CC23C82">
        <w:rPr>
          <w:rFonts w:ascii="Aptos" w:hAnsi="Aptos" w:eastAsiaTheme="minorEastAsia"/>
          <w:sz w:val="24"/>
          <w:szCs w:val="24"/>
        </w:rPr>
        <w:t>Completed outpatient, telephone, or e-visit (including with PCP)</w:t>
      </w:r>
    </w:p>
    <w:p w:rsidR="17640B78" w:rsidP="00DB7A72" w:rsidRDefault="17640B78" w14:paraId="500AAE26" w14:textId="2294E132">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Depression Case Management/Collaborative Care contact</w:t>
      </w:r>
    </w:p>
    <w:p w:rsidR="17640B78" w:rsidP="00DB7A72" w:rsidRDefault="17640B78" w14:paraId="5DF3693D" w14:textId="745D6D19">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Behavioral Health Visit (assessment, therapy, medication management)</w:t>
      </w:r>
    </w:p>
    <w:p w:rsidR="17640B78" w:rsidP="00DB7A72" w:rsidRDefault="17640B78" w14:paraId="4235AE67" w14:textId="677796CE">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Initiation of anti-depressant medication</w:t>
      </w:r>
    </w:p>
    <w:p w:rsidR="17640B78" w:rsidP="00DB7A72" w:rsidRDefault="17640B78" w14:paraId="5974A8BA" w14:textId="0968C8F1">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Negative PHQ-9 on the same day as positive PHQ-2</w:t>
      </w:r>
    </w:p>
    <w:p w:rsidR="17640B78" w:rsidP="00DB7A72" w:rsidRDefault="17640B78" w14:paraId="57D826A4" w14:textId="70C66395">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Participation in peer support or group therapy</w:t>
      </w:r>
    </w:p>
    <w:p w:rsidR="17640B78" w:rsidP="00DB7A72" w:rsidRDefault="17640B78" w14:paraId="03D02503" w14:textId="4964E770">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Enrollment in a digital mental health platform (e.g. app-based CBT) and follow up plan</w:t>
      </w:r>
    </w:p>
    <w:p w:rsidR="17640B78" w:rsidP="00DB7A72" w:rsidRDefault="17640B78" w14:paraId="0B8773E8" w14:textId="5BA9FE17">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Referral to and documented engagement with a community health worker, care manager (e.g. ECM)</w:t>
      </w:r>
    </w:p>
    <w:p w:rsidR="31D85144" w:rsidP="00DB7A72" w:rsidRDefault="31D85144" w14:paraId="4C135FC3" w14:textId="38C70B3E">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Development of a documented self-management, education and follow-up plan with PCP when formal services are declined and/or unavailable.</w:t>
      </w:r>
    </w:p>
    <w:p w:rsidR="064EEC12" w:rsidP="00DB7A72" w:rsidRDefault="064EEC12" w14:paraId="4C9309A5" w14:textId="7E4CB432">
      <w:pPr>
        <w:pStyle w:val="ListParagraph"/>
        <w:numPr>
          <w:ilvl w:val="2"/>
          <w:numId w:val="6"/>
        </w:numPr>
        <w:spacing w:beforeAutospacing="1" w:afterAutospacing="1"/>
        <w:rPr>
          <w:rFonts w:eastAsiaTheme="minorEastAsia"/>
          <w:color w:val="000000" w:themeColor="text1"/>
          <w:sz w:val="24"/>
          <w:szCs w:val="24"/>
        </w:rPr>
      </w:pPr>
      <w:r w:rsidRPr="7CC23C82">
        <w:rPr>
          <w:rFonts w:eastAsiaTheme="minorEastAsia"/>
          <w:color w:val="000000" w:themeColor="text1"/>
          <w:sz w:val="24"/>
          <w:szCs w:val="24"/>
        </w:rPr>
        <w:t>Crisis follow-up (if indicated) as evidenced by additional risk assessment and if clinically indicated, intervention documented in the note (e.g. safety planning, mobile crisis unit, psychiatric emergency, etc.</w:t>
      </w:r>
    </w:p>
    <w:p w:rsidR="2D44F9FB" w:rsidP="00DB7A72" w:rsidRDefault="2D44F9FB" w14:paraId="30662239" w14:textId="14A63D35">
      <w:pPr>
        <w:pStyle w:val="ListParagraph"/>
        <w:numPr>
          <w:ilvl w:val="1"/>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SUD Interventions/Services</w:t>
      </w:r>
    </w:p>
    <w:p w:rsidR="45F505EE" w:rsidP="00DB7A72" w:rsidRDefault="45F505EE" w14:paraId="559C5443" w14:textId="29C69662">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Brief Intervention (e.g., SBIRT-aligned motivational counseling) &amp; documented in chart.</w:t>
      </w:r>
    </w:p>
    <w:p w:rsidR="45F505EE" w:rsidP="00DB7A72" w:rsidRDefault="60F9BC12" w14:paraId="108FB046" w14:textId="51D072C3">
      <w:pPr>
        <w:pStyle w:val="ListParagraph"/>
        <w:numPr>
          <w:ilvl w:val="2"/>
          <w:numId w:val="6"/>
        </w:numPr>
        <w:spacing w:beforeAutospacing="1" w:afterAutospacing="1"/>
        <w:rPr>
          <w:rFonts w:eastAsiaTheme="minorEastAsia"/>
          <w:color w:val="000000" w:themeColor="text1"/>
          <w:sz w:val="24"/>
          <w:szCs w:val="24"/>
        </w:rPr>
      </w:pPr>
      <w:r w:rsidRPr="7CC23C82">
        <w:rPr>
          <w:rFonts w:ascii="Calibri" w:hAnsi="Calibri" w:eastAsia="Calibri" w:cs="Calibri"/>
          <w:color w:val="000000" w:themeColor="text1"/>
          <w:sz w:val="24"/>
          <w:szCs w:val="24"/>
        </w:rPr>
        <w:t>Behavioral health or SUD intake or follow-up, including peer support (internal or external program, including crisis services, inpatient detox, residential or outpatient treatment)</w:t>
      </w:r>
    </w:p>
    <w:p w:rsidR="45F505EE" w:rsidP="00DB7A72" w:rsidRDefault="49386D23" w14:paraId="37D9FDA2" w14:textId="1C2A0327">
      <w:pPr>
        <w:pStyle w:val="ListParagraph"/>
        <w:numPr>
          <w:ilvl w:val="2"/>
          <w:numId w:val="6"/>
        </w:numPr>
        <w:spacing w:beforeAutospacing="1" w:afterAutospacing="1"/>
        <w:rPr>
          <w:rFonts w:eastAsiaTheme="minorEastAsia"/>
          <w:color w:val="000000" w:themeColor="text1"/>
          <w:sz w:val="24"/>
          <w:szCs w:val="24"/>
        </w:rPr>
      </w:pPr>
      <w:r w:rsidRPr="7CC23C82">
        <w:rPr>
          <w:rFonts w:eastAsiaTheme="minorEastAsia"/>
          <w:color w:val="000000" w:themeColor="text1"/>
          <w:sz w:val="24"/>
          <w:szCs w:val="24"/>
        </w:rPr>
        <w:t>Development of a documented personalized plan of care that aligns with the patient’s stage of change (e.g., pre-contemplation, contemplation, preparation, action)</w:t>
      </w:r>
    </w:p>
    <w:p w:rsidR="45F505EE" w:rsidP="00DB7A72" w:rsidRDefault="45F505EE" w14:paraId="4973B961" w14:textId="050DD6A0">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Referral to behavioral health, crisis services, inpatient detox, residential or outpatient treatment (referral to internal or external program(s).</w:t>
      </w:r>
    </w:p>
    <w:p w:rsidR="45F505EE" w:rsidP="00DB7A72" w:rsidRDefault="45F505EE" w14:paraId="72184B30" w14:textId="7A91ABE5">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Initiation of medication-assisted treatment (</w:t>
      </w:r>
      <w:proofErr w:type="spellStart"/>
      <w:r w:rsidRPr="7CC23C82">
        <w:rPr>
          <w:rFonts w:ascii="Aptos" w:hAnsi="Aptos" w:eastAsiaTheme="minorEastAsia"/>
          <w:sz w:val="24"/>
          <w:szCs w:val="24"/>
        </w:rPr>
        <w:t>e.g</w:t>
      </w:r>
      <w:proofErr w:type="spellEnd"/>
      <w:r w:rsidRPr="7CC23C82">
        <w:rPr>
          <w:rFonts w:ascii="Aptos" w:hAnsi="Aptos" w:eastAsiaTheme="minorEastAsia"/>
          <w:sz w:val="24"/>
          <w:szCs w:val="24"/>
        </w:rPr>
        <w:t>, buprenorphine, methadone, naltrexone)</w:t>
      </w:r>
    </w:p>
    <w:p w:rsidR="053D84D6" w:rsidP="00DB7A72" w:rsidRDefault="053D84D6" w14:paraId="34838583" w14:textId="5E62253F">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Engagement with harm reduction services (e.g. naloxone distribution, syringe services, other MAT)</w:t>
      </w:r>
    </w:p>
    <w:p w:rsidR="45F505EE" w:rsidP="00DB7A72" w:rsidRDefault="45F505EE" w14:paraId="5399EDC6" w14:textId="7CB97E54">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Referral to care management</w:t>
      </w:r>
      <w:r w:rsidRPr="7CC23C82" w:rsidR="2DE15F2A">
        <w:rPr>
          <w:rFonts w:ascii="Aptos" w:hAnsi="Aptos" w:eastAsiaTheme="minorEastAsia"/>
          <w:sz w:val="24"/>
          <w:szCs w:val="24"/>
        </w:rPr>
        <w:t xml:space="preserve"> (ECM), recovery specialist</w:t>
      </w:r>
      <w:r w:rsidRPr="7CC23C82">
        <w:rPr>
          <w:rFonts w:ascii="Aptos" w:hAnsi="Aptos" w:eastAsiaTheme="minorEastAsia"/>
          <w:sz w:val="24"/>
          <w:szCs w:val="24"/>
        </w:rPr>
        <w:t xml:space="preserve">, peer-led recovery group or </w:t>
      </w:r>
      <w:proofErr w:type="gramStart"/>
      <w:r w:rsidRPr="7CC23C82">
        <w:rPr>
          <w:rFonts w:ascii="Aptos" w:hAnsi="Aptos" w:eastAsiaTheme="minorEastAsia"/>
          <w:sz w:val="24"/>
          <w:szCs w:val="24"/>
        </w:rPr>
        <w:t>other</w:t>
      </w:r>
      <w:proofErr w:type="gramEnd"/>
      <w:r w:rsidRPr="7CC23C82">
        <w:rPr>
          <w:rFonts w:ascii="Aptos" w:hAnsi="Aptos" w:eastAsiaTheme="minorEastAsia"/>
          <w:sz w:val="24"/>
          <w:szCs w:val="24"/>
        </w:rPr>
        <w:t xml:space="preserve"> community-based program.</w:t>
      </w:r>
    </w:p>
    <w:p w:rsidR="2B4957B2" w:rsidP="00DB7A72" w:rsidRDefault="2B4957B2" w14:paraId="126421E4" w14:textId="5BD1237F">
      <w:pPr>
        <w:pStyle w:val="ListParagraph"/>
        <w:numPr>
          <w:ilvl w:val="2"/>
          <w:numId w:val="6"/>
        </w:numPr>
        <w:spacing w:after="0" w:line="240" w:lineRule="auto"/>
        <w:rPr>
          <w:rFonts w:eastAsiaTheme="minorEastAsia"/>
          <w:color w:val="000000" w:themeColor="text1"/>
          <w:sz w:val="24"/>
          <w:szCs w:val="24"/>
        </w:rPr>
      </w:pPr>
      <w:r w:rsidRPr="7CC23C82">
        <w:rPr>
          <w:rFonts w:eastAsiaTheme="minorEastAsia"/>
          <w:color w:val="000000" w:themeColor="text1"/>
          <w:sz w:val="24"/>
          <w:szCs w:val="24"/>
        </w:rPr>
        <w:t>Crisis follow</w:t>
      </w:r>
      <w:r w:rsidRPr="7CC23C82" w:rsidR="2E09324B">
        <w:rPr>
          <w:rFonts w:eastAsiaTheme="minorEastAsia"/>
          <w:color w:val="000000" w:themeColor="text1"/>
          <w:sz w:val="24"/>
          <w:szCs w:val="24"/>
        </w:rPr>
        <w:t>-</w:t>
      </w:r>
      <w:r w:rsidRPr="7CC23C82">
        <w:rPr>
          <w:rFonts w:eastAsiaTheme="minorEastAsia"/>
          <w:color w:val="000000" w:themeColor="text1"/>
          <w:sz w:val="24"/>
          <w:szCs w:val="24"/>
        </w:rPr>
        <w:t>up (if indicated) as evidenced by additional risk assessment and if clinically indicated, intervent</w:t>
      </w:r>
      <w:r w:rsidRPr="7CC23C82" w:rsidR="77B394F2">
        <w:rPr>
          <w:rFonts w:eastAsiaTheme="minorEastAsia"/>
          <w:color w:val="000000" w:themeColor="text1"/>
          <w:sz w:val="24"/>
          <w:szCs w:val="24"/>
        </w:rPr>
        <w:t>ion</w:t>
      </w:r>
      <w:r w:rsidRPr="7CC23C82">
        <w:rPr>
          <w:rFonts w:eastAsiaTheme="minorEastAsia"/>
          <w:color w:val="000000" w:themeColor="text1"/>
          <w:sz w:val="24"/>
          <w:szCs w:val="24"/>
        </w:rPr>
        <w:t xml:space="preserve"> documented in the note (e.g. safety planning, </w:t>
      </w:r>
      <w:r w:rsidRPr="7CC23C82" w:rsidR="7773FA6E">
        <w:rPr>
          <w:rFonts w:eastAsiaTheme="minorEastAsia"/>
          <w:color w:val="000000" w:themeColor="text1"/>
          <w:sz w:val="24"/>
          <w:szCs w:val="24"/>
        </w:rPr>
        <w:t>mobile crisis unit, psychiatric emergency, etc.</w:t>
      </w:r>
    </w:p>
    <w:p w:rsidR="03572C52" w:rsidP="00DB7A72" w:rsidRDefault="03572C52" w14:paraId="1EAAE436" w14:textId="00E1B47D">
      <w:pPr>
        <w:pStyle w:val="ListParagraph"/>
        <w:numPr>
          <w:ilvl w:val="0"/>
          <w:numId w:val="6"/>
        </w:numPr>
        <w:spacing w:beforeAutospacing="1" w:afterAutospacing="1" w:line="240" w:lineRule="auto"/>
        <w:outlineLvl w:val="2"/>
        <w:rPr>
          <w:rFonts w:ascii="Aptos" w:hAnsi="Aptos" w:eastAsiaTheme="minorEastAsia"/>
          <w:sz w:val="24"/>
          <w:szCs w:val="24"/>
        </w:rPr>
      </w:pPr>
      <w:bookmarkStart w:name="_Closed_Loop_Linkage" w:id="6"/>
      <w:r w:rsidRPr="708FC2E1">
        <w:rPr>
          <w:rFonts w:ascii="Aptos" w:hAnsi="Aptos" w:eastAsiaTheme="minorEastAsia"/>
          <w:b/>
          <w:bCs/>
          <w:sz w:val="24"/>
          <w:szCs w:val="24"/>
        </w:rPr>
        <w:t>Closed Loop Linkage</w:t>
      </w:r>
      <w:r w:rsidRPr="708FC2E1" w:rsidR="3489B895">
        <w:rPr>
          <w:rFonts w:ascii="Aptos" w:hAnsi="Aptos" w:eastAsiaTheme="minorEastAsia"/>
          <w:b/>
          <w:bCs/>
          <w:sz w:val="24"/>
          <w:szCs w:val="24"/>
        </w:rPr>
        <w:t xml:space="preserve"> </w:t>
      </w:r>
      <w:r w:rsidRPr="708FC2E1" w:rsidR="3489B895">
        <w:rPr>
          <w:rFonts w:ascii="Aptos" w:hAnsi="Aptos" w:eastAsiaTheme="minorEastAsia"/>
          <w:sz w:val="24"/>
          <w:szCs w:val="24"/>
        </w:rPr>
        <w:t xml:space="preserve">- </w:t>
      </w:r>
      <w:r w:rsidRPr="708FC2E1" w:rsidR="76E3A82D">
        <w:rPr>
          <w:rFonts w:ascii="Aptos" w:hAnsi="Aptos" w:eastAsiaTheme="minorEastAsia"/>
          <w:sz w:val="24"/>
          <w:szCs w:val="24"/>
        </w:rPr>
        <w:t xml:space="preserve">Closed-Loop Referrals are a key component of DHCS’s Population Health Management Program under </w:t>
      </w:r>
      <w:proofErr w:type="spellStart"/>
      <w:r w:rsidRPr="708FC2E1" w:rsidR="76E3A82D">
        <w:rPr>
          <w:rFonts w:ascii="Aptos" w:hAnsi="Aptos" w:eastAsiaTheme="minorEastAsia"/>
          <w:sz w:val="24"/>
          <w:szCs w:val="24"/>
        </w:rPr>
        <w:t>CalAIM</w:t>
      </w:r>
      <w:proofErr w:type="spellEnd"/>
      <w:r w:rsidRPr="708FC2E1" w:rsidR="76E3A82D">
        <w:rPr>
          <w:rFonts w:ascii="Aptos" w:hAnsi="Aptos" w:eastAsiaTheme="minorEastAsia"/>
          <w:sz w:val="24"/>
          <w:szCs w:val="24"/>
        </w:rPr>
        <w:t xml:space="preserve">. DHCS defines a Closed-Loop Referral as a referral initiated on behalf of a Medi-Cal Managed Care Member that is tracked, supported, monitored and results in a Known Closure. A Known Closure occurs when a </w:t>
      </w:r>
      <w:proofErr w:type="gramStart"/>
      <w:r w:rsidRPr="708FC2E1" w:rsidR="76E3A82D">
        <w:rPr>
          <w:rFonts w:ascii="Aptos" w:hAnsi="Aptos" w:eastAsiaTheme="minorEastAsia"/>
          <w:sz w:val="24"/>
          <w:szCs w:val="24"/>
        </w:rPr>
        <w:t>Member’s</w:t>
      </w:r>
      <w:proofErr w:type="gramEnd"/>
      <w:r w:rsidRPr="708FC2E1" w:rsidR="76E3A82D">
        <w:rPr>
          <w:rFonts w:ascii="Aptos" w:hAnsi="Aptos" w:eastAsiaTheme="minorEastAsia"/>
          <w:sz w:val="24"/>
          <w:szCs w:val="24"/>
        </w:rPr>
        <w:t xml:space="preserve"> initial referral loop is completed with a Known Closure reason. Closure reasons include:</w:t>
      </w:r>
      <w:bookmarkEnd w:id="6"/>
      <w:r w:rsidRPr="708FC2E1" w:rsidR="76E3A82D">
        <w:rPr>
          <w:rFonts w:ascii="Aptos" w:hAnsi="Aptos" w:eastAsiaTheme="minorEastAsia"/>
          <w:sz w:val="24"/>
          <w:szCs w:val="24"/>
        </w:rPr>
        <w:t xml:space="preserve">  </w:t>
      </w:r>
    </w:p>
    <w:p w:rsidR="76E3A82D" w:rsidP="00DB7A72" w:rsidRDefault="76E3A82D" w14:paraId="6E3AC355" w14:textId="4D0CAF8E">
      <w:pPr>
        <w:pStyle w:val="ListParagraph"/>
        <w:numPr>
          <w:ilvl w:val="1"/>
          <w:numId w:val="6"/>
        </w:numPr>
        <w:rPr>
          <w:sz w:val="24"/>
          <w:szCs w:val="24"/>
        </w:rPr>
      </w:pPr>
      <w:r w:rsidRPr="708FC2E1">
        <w:rPr>
          <w:sz w:val="24"/>
          <w:szCs w:val="24"/>
        </w:rPr>
        <w:t xml:space="preserve">Services </w:t>
      </w:r>
      <w:proofErr w:type="gramStart"/>
      <w:r w:rsidRPr="708FC2E1">
        <w:rPr>
          <w:sz w:val="24"/>
          <w:szCs w:val="24"/>
        </w:rPr>
        <w:t>Received;</w:t>
      </w:r>
      <w:proofErr w:type="gramEnd"/>
      <w:r w:rsidRPr="708FC2E1">
        <w:rPr>
          <w:sz w:val="24"/>
          <w:szCs w:val="24"/>
        </w:rPr>
        <w:t xml:space="preserve">  </w:t>
      </w:r>
    </w:p>
    <w:p w:rsidR="76E3A82D" w:rsidP="00DB7A72" w:rsidRDefault="76E3A82D" w14:paraId="5D180C8B" w14:textId="39DE0620">
      <w:pPr>
        <w:pStyle w:val="ListParagraph"/>
        <w:numPr>
          <w:ilvl w:val="1"/>
          <w:numId w:val="6"/>
        </w:numPr>
        <w:rPr>
          <w:sz w:val="24"/>
          <w:szCs w:val="24"/>
        </w:rPr>
      </w:pPr>
      <w:r w:rsidRPr="708FC2E1">
        <w:rPr>
          <w:sz w:val="24"/>
          <w:szCs w:val="24"/>
        </w:rPr>
        <w:t xml:space="preserve">Service Provider </w:t>
      </w:r>
      <w:proofErr w:type="gramStart"/>
      <w:r w:rsidRPr="708FC2E1">
        <w:rPr>
          <w:sz w:val="24"/>
          <w:szCs w:val="24"/>
        </w:rPr>
        <w:t>Declined;</w:t>
      </w:r>
      <w:proofErr w:type="gramEnd"/>
      <w:r w:rsidRPr="708FC2E1">
        <w:rPr>
          <w:sz w:val="24"/>
          <w:szCs w:val="24"/>
        </w:rPr>
        <w:t xml:space="preserve"> </w:t>
      </w:r>
    </w:p>
    <w:p w:rsidR="76E3A82D" w:rsidP="00DB7A72" w:rsidRDefault="76E3A82D" w14:paraId="7422FF52" w14:textId="24454374">
      <w:pPr>
        <w:pStyle w:val="ListParagraph"/>
        <w:numPr>
          <w:ilvl w:val="1"/>
          <w:numId w:val="6"/>
        </w:numPr>
        <w:rPr>
          <w:sz w:val="24"/>
          <w:szCs w:val="24"/>
        </w:rPr>
      </w:pPr>
      <w:r w:rsidRPr="708FC2E1">
        <w:rPr>
          <w:sz w:val="24"/>
          <w:szCs w:val="24"/>
        </w:rPr>
        <w:t xml:space="preserve">Unable to Reach </w:t>
      </w:r>
      <w:proofErr w:type="gramStart"/>
      <w:r w:rsidRPr="708FC2E1">
        <w:rPr>
          <w:sz w:val="24"/>
          <w:szCs w:val="24"/>
        </w:rPr>
        <w:t>Member;</w:t>
      </w:r>
      <w:proofErr w:type="gramEnd"/>
      <w:r w:rsidRPr="708FC2E1">
        <w:rPr>
          <w:sz w:val="24"/>
          <w:szCs w:val="24"/>
        </w:rPr>
        <w:t xml:space="preserve">  </w:t>
      </w:r>
    </w:p>
    <w:p w:rsidR="76E3A82D" w:rsidP="00DB7A72" w:rsidRDefault="76E3A82D" w14:paraId="4975AFD4" w14:textId="3AC3EEBE">
      <w:pPr>
        <w:pStyle w:val="ListParagraph"/>
        <w:numPr>
          <w:ilvl w:val="1"/>
          <w:numId w:val="6"/>
        </w:numPr>
        <w:rPr>
          <w:sz w:val="24"/>
          <w:szCs w:val="24"/>
        </w:rPr>
      </w:pPr>
      <w:r w:rsidRPr="708FC2E1">
        <w:rPr>
          <w:sz w:val="24"/>
          <w:szCs w:val="24"/>
        </w:rPr>
        <w:t xml:space="preserve">Member No Longer Eligible for </w:t>
      </w:r>
      <w:proofErr w:type="gramStart"/>
      <w:r w:rsidRPr="708FC2E1">
        <w:rPr>
          <w:sz w:val="24"/>
          <w:szCs w:val="24"/>
        </w:rPr>
        <w:t>Services;</w:t>
      </w:r>
      <w:proofErr w:type="gramEnd"/>
      <w:r w:rsidRPr="708FC2E1">
        <w:rPr>
          <w:sz w:val="24"/>
          <w:szCs w:val="24"/>
        </w:rPr>
        <w:t xml:space="preserve">  </w:t>
      </w:r>
    </w:p>
    <w:p w:rsidR="76E3A82D" w:rsidP="00DB7A72" w:rsidRDefault="76E3A82D" w14:paraId="50B57426" w14:textId="60255FB7">
      <w:pPr>
        <w:pStyle w:val="ListParagraph"/>
        <w:numPr>
          <w:ilvl w:val="1"/>
          <w:numId w:val="6"/>
        </w:numPr>
        <w:rPr>
          <w:sz w:val="24"/>
          <w:szCs w:val="24"/>
        </w:rPr>
      </w:pPr>
      <w:r w:rsidRPr="708FC2E1">
        <w:rPr>
          <w:sz w:val="24"/>
          <w:szCs w:val="24"/>
        </w:rPr>
        <w:t xml:space="preserve">Member No Longer Needs Services or Declines </w:t>
      </w:r>
      <w:proofErr w:type="gramStart"/>
      <w:r w:rsidRPr="708FC2E1">
        <w:rPr>
          <w:sz w:val="24"/>
          <w:szCs w:val="24"/>
        </w:rPr>
        <w:t>Services;</w:t>
      </w:r>
      <w:proofErr w:type="gramEnd"/>
      <w:r w:rsidRPr="708FC2E1">
        <w:rPr>
          <w:sz w:val="24"/>
          <w:szCs w:val="24"/>
        </w:rPr>
        <w:t xml:space="preserve">  </w:t>
      </w:r>
    </w:p>
    <w:p w:rsidR="76E3A82D" w:rsidP="00DB7A72" w:rsidRDefault="76E3A82D" w14:paraId="08F37E65" w14:textId="7F78D56F">
      <w:pPr>
        <w:pStyle w:val="ListParagraph"/>
        <w:numPr>
          <w:ilvl w:val="1"/>
          <w:numId w:val="6"/>
        </w:numPr>
        <w:rPr>
          <w:sz w:val="24"/>
          <w:szCs w:val="24"/>
        </w:rPr>
      </w:pPr>
      <w:r w:rsidRPr="708FC2E1">
        <w:rPr>
          <w:sz w:val="24"/>
          <w:szCs w:val="24"/>
        </w:rPr>
        <w:t xml:space="preserve">Authorization Denied.  </w:t>
      </w:r>
    </w:p>
    <w:p w:rsidR="76E3A82D" w:rsidP="00DB7A72" w:rsidRDefault="76E3A82D" w14:paraId="47922BDA" w14:textId="571F50F5">
      <w:pPr>
        <w:pStyle w:val="ListParagraph"/>
        <w:numPr>
          <w:ilvl w:val="0"/>
          <w:numId w:val="6"/>
        </w:numPr>
        <w:rPr>
          <w:sz w:val="24"/>
          <w:szCs w:val="24"/>
        </w:rPr>
      </w:pPr>
      <w:r w:rsidRPr="708FC2E1">
        <w:rPr>
          <w:sz w:val="24"/>
          <w:szCs w:val="24"/>
        </w:rPr>
        <w:t xml:space="preserve">EPT practices are encouraged to work directly with MCPs and review DHCS resources on </w:t>
      </w:r>
      <w:hyperlink r:id="rId15">
        <w:r w:rsidRPr="708FC2E1">
          <w:rPr>
            <w:rStyle w:val="Hyperlink"/>
            <w:sz w:val="24"/>
            <w:szCs w:val="24"/>
          </w:rPr>
          <w:t>closed loop referral implementation guidance.</w:t>
        </w:r>
      </w:hyperlink>
      <w:r w:rsidRPr="708FC2E1">
        <w:rPr>
          <w:sz w:val="24"/>
          <w:szCs w:val="24"/>
        </w:rPr>
        <w:t xml:space="preserve">   </w:t>
      </w:r>
    </w:p>
    <w:p w:rsidR="07F9EBA7" w:rsidP="00DB7A72" w:rsidRDefault="07F9EBA7" w14:paraId="437592C9" w14:textId="0CBD3ED8">
      <w:pPr>
        <w:pStyle w:val="ListParagraph"/>
        <w:numPr>
          <w:ilvl w:val="0"/>
          <w:numId w:val="6"/>
        </w:numPr>
        <w:rPr>
          <w:sz w:val="24"/>
          <w:szCs w:val="24"/>
        </w:rPr>
      </w:pPr>
      <w:r w:rsidRPr="708FC2E1">
        <w:rPr>
          <w:sz w:val="24"/>
          <w:szCs w:val="24"/>
        </w:rPr>
        <w:t xml:space="preserve">Note: </w:t>
      </w:r>
      <w:hyperlink r:id="rId16">
        <w:r w:rsidRPr="708FC2E1">
          <w:rPr>
            <w:rStyle w:val="Hyperlink"/>
            <w:sz w:val="24"/>
            <w:szCs w:val="24"/>
          </w:rPr>
          <w:t>42 CFR Part 2</w:t>
        </w:r>
      </w:hyperlink>
      <w:r w:rsidRPr="708FC2E1" w:rsidR="68163958">
        <w:rPr>
          <w:sz w:val="24"/>
          <w:szCs w:val="24"/>
        </w:rPr>
        <w:t xml:space="preserve"> is a federal regulation that requires heightened protections for confident</w:t>
      </w:r>
      <w:r w:rsidRPr="708FC2E1" w:rsidR="49A921EE">
        <w:rPr>
          <w:sz w:val="24"/>
          <w:szCs w:val="24"/>
        </w:rPr>
        <w:t xml:space="preserve">iality of SUD treatment records and disclosures. Authorizations to release information in </w:t>
      </w:r>
      <w:r w:rsidRPr="708FC2E1" w:rsidR="6AE10BB9">
        <w:rPr>
          <w:sz w:val="24"/>
          <w:szCs w:val="24"/>
        </w:rPr>
        <w:t>compliance with</w:t>
      </w:r>
      <w:r w:rsidRPr="708FC2E1" w:rsidR="49A921EE">
        <w:rPr>
          <w:sz w:val="24"/>
          <w:szCs w:val="24"/>
        </w:rPr>
        <w:t xml:space="preserve"> </w:t>
      </w:r>
      <w:r w:rsidRPr="708FC2E1" w:rsidR="65CD8237">
        <w:rPr>
          <w:sz w:val="24"/>
          <w:szCs w:val="24"/>
        </w:rPr>
        <w:t xml:space="preserve">42 CFR Part 2 regulations will be needed to close the loop to some referral sources. Practices are encouraged to seek further guidance from their sponsoring MCP. </w:t>
      </w:r>
      <w:r w:rsidRPr="708FC2E1" w:rsidR="78D3703D">
        <w:rPr>
          <w:sz w:val="24"/>
          <w:szCs w:val="24"/>
        </w:rPr>
        <w:t xml:space="preserve">See below </w:t>
      </w:r>
      <w:r w:rsidRPr="708FC2E1" w:rsidR="275372AF">
        <w:rPr>
          <w:sz w:val="24"/>
          <w:szCs w:val="24"/>
        </w:rPr>
        <w:t>for guidance in adapting Closed loop linkage for SUD populations:</w:t>
      </w:r>
    </w:p>
    <w:p w:rsidR="78D3703D" w:rsidP="00DB7A72" w:rsidRDefault="78D3703D" w14:paraId="752BE7AA" w14:textId="6E6F6AD9">
      <w:pPr>
        <w:pStyle w:val="ListParagraph"/>
        <w:numPr>
          <w:ilvl w:val="1"/>
          <w:numId w:val="6"/>
        </w:numPr>
        <w:rPr>
          <w:rFonts w:eastAsiaTheme="minorEastAsia"/>
          <w:sz w:val="24"/>
          <w:szCs w:val="24"/>
        </w:rPr>
      </w:pPr>
      <w:r w:rsidRPr="708FC2E1">
        <w:rPr>
          <w:rFonts w:eastAsiaTheme="minorEastAsia"/>
          <w:sz w:val="24"/>
          <w:szCs w:val="24"/>
        </w:rPr>
        <w:t xml:space="preserve">Practices may use a tiered closed-loop referral approach, recognizing that full closed-loop confirmation may not always be possible due to referral type, patient consent, or applicable privacy regulations, including HIPAA and 42 CFR Part 2. </w:t>
      </w:r>
    </w:p>
    <w:p w:rsidR="78D3703D" w:rsidP="00DB7A72" w:rsidRDefault="78D3703D" w14:paraId="50889BAB" w14:textId="6C0BD3C7">
      <w:pPr>
        <w:pStyle w:val="ListParagraph"/>
        <w:numPr>
          <w:ilvl w:val="1"/>
          <w:numId w:val="6"/>
        </w:numPr>
        <w:rPr>
          <w:rFonts w:eastAsiaTheme="minorEastAsia"/>
          <w:sz w:val="24"/>
          <w:szCs w:val="24"/>
        </w:rPr>
      </w:pPr>
      <w:r w:rsidRPr="708FC2E1">
        <w:rPr>
          <w:rFonts w:eastAsiaTheme="minorEastAsia"/>
          <w:sz w:val="24"/>
          <w:szCs w:val="24"/>
        </w:rPr>
        <w:t>When bi</w:t>
      </w:r>
      <w:r w:rsidRPr="708FC2E1" w:rsidR="24C7F648">
        <w:rPr>
          <w:rFonts w:eastAsiaTheme="minorEastAsia"/>
          <w:sz w:val="24"/>
          <w:szCs w:val="24"/>
        </w:rPr>
        <w:t>-</w:t>
      </w:r>
      <w:r w:rsidRPr="708FC2E1">
        <w:rPr>
          <w:rFonts w:eastAsiaTheme="minorEastAsia"/>
          <w:sz w:val="24"/>
          <w:szCs w:val="24"/>
        </w:rPr>
        <w:t xml:space="preserve">directional communication is available (e.g., outpatient behavioral health or MAT providers), referral initiation and completion can be tracked through the EHR or referral platform or other information-sharing agreement. </w:t>
      </w:r>
    </w:p>
    <w:p w:rsidR="78D3703D" w:rsidP="00DB7A72" w:rsidRDefault="78D3703D" w14:paraId="6CA12FD9" w14:textId="6AC54AAA">
      <w:pPr>
        <w:pStyle w:val="ListParagraph"/>
        <w:numPr>
          <w:ilvl w:val="1"/>
          <w:numId w:val="6"/>
        </w:numPr>
        <w:rPr>
          <w:rFonts w:eastAsiaTheme="minorEastAsia"/>
          <w:sz w:val="24"/>
          <w:szCs w:val="24"/>
        </w:rPr>
      </w:pPr>
      <w:r w:rsidRPr="708FC2E1">
        <w:rPr>
          <w:rFonts w:eastAsiaTheme="minorEastAsia"/>
          <w:sz w:val="24"/>
          <w:szCs w:val="24"/>
        </w:rPr>
        <w:t xml:space="preserve">For inpatient or residential substance use treatment, practices may document referral initiation and follow up with the patient to assess disposition when confirmation is not available. </w:t>
      </w:r>
    </w:p>
    <w:p w:rsidR="78D3703D" w:rsidP="00DB7A72" w:rsidRDefault="78D3703D" w14:paraId="5B27804A" w14:textId="47542DBB">
      <w:pPr>
        <w:pStyle w:val="ListParagraph"/>
        <w:numPr>
          <w:ilvl w:val="1"/>
          <w:numId w:val="6"/>
        </w:numPr>
        <w:rPr>
          <w:rFonts w:eastAsiaTheme="minorEastAsia"/>
          <w:sz w:val="24"/>
          <w:szCs w:val="24"/>
        </w:rPr>
      </w:pPr>
      <w:r w:rsidRPr="708FC2E1">
        <w:rPr>
          <w:rFonts w:eastAsiaTheme="minorEastAsia"/>
          <w:sz w:val="24"/>
          <w:szCs w:val="24"/>
        </w:rPr>
        <w:t xml:space="preserve">For peer-led mutual support groups (e.g., AA/NA), where anonymity limits confirmation, follow-up may rely on documentation of resource provision and patient-reported engagement. </w:t>
      </w:r>
    </w:p>
    <w:p w:rsidR="78D3703D" w:rsidP="00DB7A72" w:rsidRDefault="78D3703D" w14:paraId="4360A3F5" w14:textId="75BEE7E2">
      <w:pPr>
        <w:pStyle w:val="ListParagraph"/>
        <w:numPr>
          <w:ilvl w:val="1"/>
          <w:numId w:val="6"/>
        </w:numPr>
        <w:rPr>
          <w:rFonts w:eastAsiaTheme="minorEastAsia"/>
          <w:sz w:val="24"/>
          <w:szCs w:val="24"/>
        </w:rPr>
      </w:pPr>
      <w:r w:rsidRPr="708FC2E1">
        <w:rPr>
          <w:rFonts w:eastAsiaTheme="minorEastAsia"/>
          <w:sz w:val="24"/>
          <w:szCs w:val="24"/>
        </w:rPr>
        <w:t>Across referral types, follow-up can include reassessment of readiness for change using motivational interviewing–informed, culturally responsive, and non-punitive approaches. Where closed-loop referral is simply not practical or possible, this can be noted in submission.</w:t>
      </w:r>
    </w:p>
    <w:p w:rsidR="27843CEA" w:rsidP="708FC2E1" w:rsidRDefault="27843CEA" w14:paraId="5E1C1416" w14:textId="4E5FDA23">
      <w:pPr>
        <w:pStyle w:val="Heading3"/>
      </w:pPr>
      <w:bookmarkStart w:name="_Readiness_for_Change" w:id="7"/>
      <w:r>
        <w:t>Readiness for Change Examples:</w:t>
      </w:r>
      <w:bookmarkEnd w:id="7"/>
    </w:p>
    <w:p w:rsidR="27843CEA" w:rsidP="708FC2E1" w:rsidRDefault="27843CEA" w14:paraId="01455AC8" w14:textId="726AC72C">
      <w:pPr>
        <w:spacing w:beforeAutospacing="1" w:afterAutospacing="1" w:line="240" w:lineRule="auto"/>
        <w:outlineLvl w:val="2"/>
        <w:rPr>
          <w:rFonts w:ascii="Aptos" w:hAnsi="Aptos" w:eastAsiaTheme="minorEastAsia"/>
          <w:sz w:val="24"/>
          <w:szCs w:val="24"/>
        </w:rPr>
      </w:pPr>
      <w:r w:rsidRPr="708FC2E1">
        <w:rPr>
          <w:rFonts w:ascii="Aptos" w:hAnsi="Aptos" w:eastAsiaTheme="minorEastAsia"/>
          <w:b/>
          <w:bCs/>
          <w:sz w:val="24"/>
          <w:szCs w:val="24"/>
        </w:rPr>
        <w:t xml:space="preserve">Low readiness </w:t>
      </w:r>
      <w:r w:rsidRPr="708FC2E1">
        <w:rPr>
          <w:rFonts w:ascii="Aptos" w:hAnsi="Aptos" w:eastAsiaTheme="minorEastAsia"/>
          <w:sz w:val="24"/>
          <w:szCs w:val="24"/>
        </w:rPr>
        <w:t>(e.g., patient not interested in change):</w:t>
      </w:r>
      <w:r>
        <w:br/>
      </w:r>
      <w:r w:rsidRPr="708FC2E1">
        <w:rPr>
          <w:rFonts w:ascii="Aptos" w:hAnsi="Aptos" w:eastAsiaTheme="minorEastAsia"/>
          <w:sz w:val="24"/>
          <w:szCs w:val="24"/>
        </w:rPr>
        <w:t>Provide brief motivational intervention, normalize ambivalence, offer harm-reduction strategies, and schedule re-screening at a future visit.</w:t>
      </w:r>
      <w:r>
        <w:br/>
      </w:r>
      <w:r>
        <w:br/>
      </w:r>
      <w:r w:rsidRPr="708FC2E1">
        <w:rPr>
          <w:rFonts w:ascii="Aptos" w:hAnsi="Aptos" w:eastAsiaTheme="minorEastAsia"/>
          <w:b/>
          <w:bCs/>
          <w:sz w:val="24"/>
          <w:szCs w:val="24"/>
        </w:rPr>
        <w:t>Moderate readiness:</w:t>
      </w:r>
      <w:r>
        <w:br/>
      </w:r>
      <w:r w:rsidRPr="708FC2E1">
        <w:rPr>
          <w:rFonts w:ascii="Aptos" w:hAnsi="Aptos" w:eastAsiaTheme="minorEastAsia"/>
          <w:sz w:val="24"/>
          <w:szCs w:val="24"/>
        </w:rPr>
        <w:t>Conduct brief intervention using MI techniques, offer optional referral to care management or behavioral health, and schedule follow-up.</w:t>
      </w:r>
      <w:r>
        <w:br/>
      </w:r>
      <w:r>
        <w:br/>
      </w:r>
      <w:r w:rsidRPr="708FC2E1">
        <w:rPr>
          <w:rFonts w:ascii="Aptos" w:hAnsi="Aptos" w:eastAsiaTheme="minorEastAsia"/>
          <w:b/>
          <w:bCs/>
          <w:sz w:val="24"/>
          <w:szCs w:val="24"/>
        </w:rPr>
        <w:t>High readiness:</w:t>
      </w:r>
      <w:r>
        <w:br/>
      </w:r>
      <w:r w:rsidRPr="708FC2E1">
        <w:rPr>
          <w:rFonts w:ascii="Aptos" w:hAnsi="Aptos" w:eastAsiaTheme="minorEastAsia"/>
          <w:sz w:val="24"/>
          <w:szCs w:val="24"/>
        </w:rPr>
        <w:t>Initiate referral to appropriate SUD treatment services (e.g., outpatient treatment, MAT, peer support), with closed-loop referral tracking, as applicable.</w:t>
      </w:r>
    </w:p>
    <w:p w:rsidR="4AEDC6D8" w:rsidP="708FC2E1" w:rsidRDefault="4AEDC6D8" w14:paraId="7EC508E9" w14:textId="489D0020">
      <w:pPr>
        <w:pStyle w:val="Heading3"/>
        <w:rPr>
          <w:rFonts w:ascii="Aptos" w:hAnsi="Aptos" w:eastAsiaTheme="minorEastAsia"/>
          <w:b/>
          <w:bCs/>
          <w:sz w:val="24"/>
          <w:szCs w:val="24"/>
        </w:rPr>
      </w:pPr>
      <w:r w:rsidRPr="708FC2E1">
        <w:rPr>
          <w:b/>
          <w:bCs/>
        </w:rPr>
        <w:t>Screening Tool Scoring Guides:</w:t>
      </w:r>
    </w:p>
    <w:p w:rsidR="1EB882B2" w:rsidP="708FC2E1" w:rsidRDefault="1EB882B2" w14:paraId="7085FFF4" w14:textId="663A8CAF">
      <w:pPr>
        <w:pStyle w:val="Heading4"/>
        <w:rPr>
          <w:rFonts w:ascii="Calibri" w:hAnsi="Calibri" w:eastAsia="Calibri" w:cs="Calibri"/>
          <w:b/>
          <w:bCs/>
          <w:i w:val="0"/>
          <w:iCs w:val="0"/>
          <w:color w:val="4F81BD"/>
          <w:sz w:val="24"/>
          <w:szCs w:val="24"/>
        </w:rPr>
      </w:pPr>
      <w:r w:rsidRPr="708FC2E1">
        <w:t>PHQ-9 (Patient Health Questionnaire-9)</w:t>
      </w:r>
    </w:p>
    <w:p w:rsidR="1EB882B2" w:rsidP="708FC2E1" w:rsidRDefault="1EB882B2" w14:paraId="3A5B9282" w14:textId="6C81D9BE">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The PHQ-9 consists of 9 items, each scored from 0 (Not at all) to 3 (Nearly every day). Total score range: 0–27.</w:t>
      </w:r>
    </w:p>
    <w:p w:rsidR="1EB882B2" w:rsidP="708FC2E1" w:rsidRDefault="1EB882B2" w14:paraId="337CCF7F" w14:textId="30DE9356">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Scoring Interpretation:</w:t>
      </w:r>
      <w:r>
        <w:br/>
      </w:r>
      <w:r w:rsidRPr="708FC2E1">
        <w:rPr>
          <w:rFonts w:ascii="Calibri" w:hAnsi="Calibri" w:eastAsia="Calibri" w:cs="Calibri"/>
          <w:color w:val="000000" w:themeColor="text1"/>
          <w:sz w:val="24"/>
          <w:szCs w:val="24"/>
        </w:rPr>
        <w:t>- 0-4: Minimal or no depression</w:t>
      </w:r>
      <w:r>
        <w:br/>
      </w:r>
      <w:r w:rsidRPr="708FC2E1">
        <w:rPr>
          <w:rFonts w:ascii="Calibri" w:hAnsi="Calibri" w:eastAsia="Calibri" w:cs="Calibri"/>
          <w:color w:val="000000" w:themeColor="text1"/>
          <w:sz w:val="24"/>
          <w:szCs w:val="24"/>
        </w:rPr>
        <w:t>- 5-9: Mild symptoms — consider monitoring or brief intervention</w:t>
      </w:r>
      <w:r>
        <w:br/>
      </w:r>
      <w:r w:rsidRPr="708FC2E1">
        <w:rPr>
          <w:rFonts w:ascii="Calibri" w:hAnsi="Calibri" w:eastAsia="Calibri" w:cs="Calibri"/>
          <w:color w:val="000000" w:themeColor="text1"/>
          <w:sz w:val="24"/>
          <w:szCs w:val="24"/>
        </w:rPr>
        <w:t>- 10-14: Moderate — positive screen; recommend further evaluation and referral</w:t>
      </w:r>
      <w:r>
        <w:br/>
      </w:r>
      <w:r w:rsidRPr="708FC2E1">
        <w:rPr>
          <w:rFonts w:ascii="Calibri" w:hAnsi="Calibri" w:eastAsia="Calibri" w:cs="Calibri"/>
          <w:color w:val="000000" w:themeColor="text1"/>
          <w:sz w:val="24"/>
          <w:szCs w:val="24"/>
        </w:rPr>
        <w:t>- 15-19: Moderately severe — active treatment likely needed</w:t>
      </w:r>
      <w:r>
        <w:br/>
      </w:r>
      <w:r w:rsidRPr="708FC2E1">
        <w:rPr>
          <w:rFonts w:ascii="Calibri" w:hAnsi="Calibri" w:eastAsia="Calibri" w:cs="Calibri"/>
          <w:color w:val="000000" w:themeColor="text1"/>
          <w:sz w:val="24"/>
          <w:szCs w:val="24"/>
        </w:rPr>
        <w:t>- 20-27: Severe — active treatment and possible specialty referral recommended</w:t>
      </w:r>
    </w:p>
    <w:p w:rsidR="1EB882B2" w:rsidP="708FC2E1" w:rsidRDefault="1EB882B2" w14:paraId="73EA01BC" w14:textId="53388588">
      <w:pPr>
        <w:pStyle w:val="Heading2"/>
        <w:spacing w:before="200" w:after="0"/>
        <w:rPr>
          <w:rFonts w:ascii="Calibri" w:hAnsi="Calibri" w:eastAsia="Calibri" w:cs="Calibri"/>
          <w:b/>
          <w:bCs/>
          <w:color w:val="4F81BD"/>
          <w:sz w:val="24"/>
          <w:szCs w:val="24"/>
        </w:rPr>
      </w:pPr>
      <w:r w:rsidRPr="708FC2E1">
        <w:rPr>
          <w:rFonts w:ascii="Calibri" w:hAnsi="Calibri" w:eastAsia="Calibri" w:cs="Calibri"/>
          <w:b/>
          <w:bCs/>
          <w:i/>
          <w:iCs/>
          <w:color w:val="4F81BD"/>
          <w:sz w:val="24"/>
          <w:szCs w:val="24"/>
        </w:rPr>
        <w:t>Of course, any non-zero screening requires a clinical conversation and clinical discretion.</w:t>
      </w:r>
    </w:p>
    <w:p w:rsidR="1EB882B2" w:rsidP="708FC2E1" w:rsidRDefault="1EB882B2" w14:paraId="15A3EB6B" w14:textId="3B9D7BE5">
      <w:pPr>
        <w:pStyle w:val="Heading4"/>
        <w:rPr>
          <w:rFonts w:ascii="Calibri" w:hAnsi="Calibri" w:eastAsia="Calibri" w:cs="Calibri"/>
          <w:b/>
          <w:bCs/>
          <w:i w:val="0"/>
          <w:iCs w:val="0"/>
          <w:color w:val="4F81BD"/>
          <w:sz w:val="24"/>
          <w:szCs w:val="24"/>
        </w:rPr>
      </w:pPr>
      <w:r w:rsidRPr="708FC2E1">
        <w:rPr>
          <w:b/>
          <w:bCs/>
        </w:rPr>
        <w:t>AUDIT-C (Alcohol Use Disorders Identification Test - Consumption)</w:t>
      </w:r>
    </w:p>
    <w:p w:rsidR="1EB882B2" w:rsidP="708FC2E1" w:rsidRDefault="1EB882B2" w14:paraId="3FFE65FC" w14:textId="5B9082BA">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 xml:space="preserve">The AUDIT-C includes 3 questions on alcohol </w:t>
      </w:r>
      <w:proofErr w:type="gramStart"/>
      <w:r w:rsidRPr="708FC2E1">
        <w:rPr>
          <w:rFonts w:ascii="Calibri" w:hAnsi="Calibri" w:eastAsia="Calibri" w:cs="Calibri"/>
          <w:color w:val="000000" w:themeColor="text1"/>
          <w:sz w:val="24"/>
          <w:szCs w:val="24"/>
        </w:rPr>
        <w:t>consumption,</w:t>
      </w:r>
      <w:proofErr w:type="gramEnd"/>
      <w:r w:rsidRPr="708FC2E1">
        <w:rPr>
          <w:rFonts w:ascii="Calibri" w:hAnsi="Calibri" w:eastAsia="Calibri" w:cs="Calibri"/>
          <w:color w:val="000000" w:themeColor="text1"/>
          <w:sz w:val="24"/>
          <w:szCs w:val="24"/>
        </w:rPr>
        <w:t xml:space="preserve"> each scored from 0-4. Total score range: 0-12.</w:t>
      </w:r>
    </w:p>
    <w:p w:rsidR="1EB882B2" w:rsidP="708FC2E1" w:rsidRDefault="1EB882B2" w14:paraId="1EB08AA1" w14:textId="0748AD74">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Scoring Interpretation:</w:t>
      </w:r>
      <w:r>
        <w:br/>
      </w:r>
      <w:r w:rsidRPr="708FC2E1">
        <w:rPr>
          <w:rFonts w:ascii="Calibri" w:hAnsi="Calibri" w:eastAsia="Calibri" w:cs="Calibri"/>
          <w:color w:val="000000" w:themeColor="text1"/>
          <w:sz w:val="24"/>
          <w:szCs w:val="24"/>
        </w:rPr>
        <w:t>- Men: A score of 4 or more is considered a positive screen</w:t>
      </w:r>
      <w:r>
        <w:br/>
      </w:r>
      <w:r w:rsidRPr="708FC2E1">
        <w:rPr>
          <w:rFonts w:ascii="Calibri" w:hAnsi="Calibri" w:eastAsia="Calibri" w:cs="Calibri"/>
          <w:color w:val="000000" w:themeColor="text1"/>
          <w:sz w:val="24"/>
          <w:szCs w:val="24"/>
        </w:rPr>
        <w:t>- Women: A score of 3 or more is considered a positive screen</w:t>
      </w:r>
      <w:r>
        <w:br/>
      </w:r>
      <w:r w:rsidRPr="708FC2E1">
        <w:rPr>
          <w:rFonts w:ascii="Calibri" w:hAnsi="Calibri" w:eastAsia="Calibri" w:cs="Calibri"/>
          <w:color w:val="000000" w:themeColor="text1"/>
          <w:sz w:val="24"/>
          <w:szCs w:val="24"/>
        </w:rPr>
        <w:t>- Any score above 0 may warrant brief counseling depending on context</w:t>
      </w:r>
    </w:p>
    <w:p w:rsidR="1EB882B2" w:rsidP="708FC2E1" w:rsidRDefault="1EB882B2" w14:paraId="03FF1AB4" w14:textId="68CC9407">
      <w:pPr>
        <w:pStyle w:val="Heading4"/>
        <w:rPr>
          <w:rFonts w:ascii="Calibri" w:hAnsi="Calibri" w:eastAsia="Calibri" w:cs="Calibri"/>
          <w:b/>
          <w:bCs/>
          <w:i w:val="0"/>
          <w:iCs w:val="0"/>
          <w:color w:val="4F81BD"/>
          <w:sz w:val="28"/>
          <w:szCs w:val="28"/>
        </w:rPr>
      </w:pPr>
      <w:r w:rsidRPr="708FC2E1">
        <w:rPr>
          <w:b/>
          <w:bCs/>
        </w:rPr>
        <w:t>CRAFFT (Adolescent Substance Use Screening Tool)</w:t>
      </w:r>
    </w:p>
    <w:p w:rsidR="1EB882B2" w:rsidP="708FC2E1" w:rsidRDefault="1EB882B2" w14:paraId="74159D68" w14:textId="50A47649">
      <w:pPr>
        <w:spacing w:before="240" w:after="240"/>
        <w:rPr>
          <w:rFonts w:ascii="Calibri" w:hAnsi="Calibri" w:eastAsia="Calibri" w:cs="Calibri"/>
          <w:color w:val="000000" w:themeColor="text1"/>
        </w:rPr>
      </w:pPr>
      <w:r w:rsidRPr="708FC2E1">
        <w:rPr>
          <w:rFonts w:ascii="Calibri" w:hAnsi="Calibri" w:eastAsia="Calibri" w:cs="Calibri"/>
          <w:color w:val="000000" w:themeColor="text1"/>
        </w:rPr>
        <w:t>The CRAFFT is a brief screening tool for adolescents (generally ages 12–21) used to identify risky alcohol and drug use. It has two parts: Part A (use questions) and Part B (six risk items: C-R-A-F-F-T).</w:t>
      </w:r>
    </w:p>
    <w:p w:rsidR="1EB882B2" w:rsidP="708FC2E1" w:rsidRDefault="1EB882B2" w14:paraId="5A76D477" w14:textId="165CA86E">
      <w:p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Scoring Method</w:t>
      </w:r>
    </w:p>
    <w:p w:rsidR="1EB882B2" w:rsidP="00DB7A72" w:rsidRDefault="1EB882B2" w14:paraId="5178AA64" w14:textId="76594108">
      <w:pPr>
        <w:pStyle w:val="ListParagraph"/>
        <w:numPr>
          <w:ilvl w:val="0"/>
          <w:numId w:val="5"/>
        </w:num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Part A (Use History)</w:t>
      </w:r>
    </w:p>
    <w:p w:rsidR="1EB882B2" w:rsidP="00DB7A72" w:rsidRDefault="1EB882B2" w14:paraId="2FAC225C" w14:textId="56D635D7">
      <w:pPr>
        <w:pStyle w:val="ListParagraph"/>
        <w:numPr>
          <w:ilvl w:val="1"/>
          <w:numId w:val="5"/>
        </w:numPr>
        <w:spacing w:before="240" w:after="240"/>
        <w:rPr>
          <w:rFonts w:ascii="Calibri" w:hAnsi="Calibri" w:eastAsia="Calibri" w:cs="Calibri"/>
          <w:color w:val="000000" w:themeColor="text1"/>
        </w:rPr>
      </w:pPr>
      <w:r w:rsidRPr="708FC2E1">
        <w:rPr>
          <w:rFonts w:ascii="Calibri" w:hAnsi="Calibri" w:eastAsia="Calibri" w:cs="Calibri"/>
          <w:color w:val="000000" w:themeColor="text1"/>
        </w:rPr>
        <w:t>Ask whether the adolescent has used alcohol (more than a few sips), marijuana, or other substances in the past 12 months.</w:t>
      </w:r>
    </w:p>
    <w:p w:rsidR="1EB882B2" w:rsidP="00DB7A72" w:rsidRDefault="1EB882B2" w14:paraId="6D3B2954" w14:textId="2C39577A">
      <w:pPr>
        <w:pStyle w:val="ListParagraph"/>
        <w:numPr>
          <w:ilvl w:val="1"/>
          <w:numId w:val="5"/>
        </w:numPr>
        <w:spacing w:before="240" w:after="240"/>
        <w:rPr>
          <w:rFonts w:ascii="Calibri" w:hAnsi="Calibri" w:eastAsia="Calibri" w:cs="Calibri"/>
          <w:color w:val="000000" w:themeColor="text1"/>
        </w:rPr>
      </w:pPr>
      <w:r w:rsidRPr="708FC2E1">
        <w:rPr>
          <w:rFonts w:ascii="Calibri" w:hAnsi="Calibri" w:eastAsia="Calibri" w:cs="Calibri"/>
          <w:color w:val="000000" w:themeColor="text1"/>
        </w:rPr>
        <w:t xml:space="preserve">If the adolescent endorses </w:t>
      </w:r>
      <w:r w:rsidRPr="708FC2E1">
        <w:rPr>
          <w:rFonts w:ascii="Calibri" w:hAnsi="Calibri" w:eastAsia="Calibri" w:cs="Calibri"/>
          <w:i/>
          <w:iCs/>
          <w:color w:val="000000" w:themeColor="text1"/>
        </w:rPr>
        <w:t>any</w:t>
      </w:r>
      <w:r w:rsidRPr="708FC2E1">
        <w:rPr>
          <w:rFonts w:ascii="Calibri" w:hAnsi="Calibri" w:eastAsia="Calibri" w:cs="Calibri"/>
          <w:color w:val="000000" w:themeColor="text1"/>
        </w:rPr>
        <w:t xml:space="preserve"> substance use, administer all six Part B questions.</w:t>
      </w:r>
    </w:p>
    <w:p w:rsidR="1EB882B2" w:rsidP="00DB7A72" w:rsidRDefault="1EB882B2" w14:paraId="4430259B" w14:textId="744E8BAA">
      <w:pPr>
        <w:pStyle w:val="ListParagraph"/>
        <w:numPr>
          <w:ilvl w:val="1"/>
          <w:numId w:val="5"/>
        </w:numPr>
        <w:spacing w:before="240" w:after="240"/>
        <w:rPr>
          <w:rFonts w:ascii="Calibri" w:hAnsi="Calibri" w:eastAsia="Calibri" w:cs="Calibri"/>
          <w:color w:val="000000" w:themeColor="text1"/>
        </w:rPr>
      </w:pPr>
      <w:r w:rsidRPr="708FC2E1">
        <w:rPr>
          <w:rFonts w:ascii="Calibri" w:hAnsi="Calibri" w:eastAsia="Calibri" w:cs="Calibri"/>
          <w:color w:val="000000" w:themeColor="text1"/>
        </w:rPr>
        <w:t xml:space="preserve">If </w:t>
      </w:r>
      <w:r w:rsidRPr="708FC2E1">
        <w:rPr>
          <w:rFonts w:ascii="Calibri" w:hAnsi="Calibri" w:eastAsia="Calibri" w:cs="Calibri"/>
          <w:i/>
          <w:iCs/>
          <w:color w:val="000000" w:themeColor="text1"/>
        </w:rPr>
        <w:t>no</w:t>
      </w:r>
      <w:r w:rsidRPr="708FC2E1">
        <w:rPr>
          <w:rFonts w:ascii="Calibri" w:hAnsi="Calibri" w:eastAsia="Calibri" w:cs="Calibri"/>
          <w:color w:val="000000" w:themeColor="text1"/>
        </w:rPr>
        <w:t xml:space="preserve"> substance use is endorsed, administer only the "Car" question from Part B.</w:t>
      </w:r>
    </w:p>
    <w:p w:rsidR="1EB882B2" w:rsidP="00DB7A72" w:rsidRDefault="1EB882B2" w14:paraId="44872564" w14:textId="2C3FB9CA">
      <w:pPr>
        <w:pStyle w:val="ListParagraph"/>
        <w:numPr>
          <w:ilvl w:val="0"/>
          <w:numId w:val="5"/>
        </w:num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Part B (Risk Behaviors)</w:t>
      </w:r>
    </w:p>
    <w:p w:rsidR="1EB882B2" w:rsidP="00DB7A72" w:rsidRDefault="1EB882B2" w14:paraId="2060A85F" w14:textId="3F620051">
      <w:pPr>
        <w:pStyle w:val="ListParagraph"/>
        <w:numPr>
          <w:ilvl w:val="1"/>
          <w:numId w:val="5"/>
        </w:numPr>
        <w:spacing w:before="240" w:after="240"/>
        <w:rPr>
          <w:rFonts w:ascii="Calibri" w:hAnsi="Calibri" w:eastAsia="Calibri" w:cs="Calibri"/>
          <w:color w:val="000000" w:themeColor="text1"/>
        </w:rPr>
      </w:pPr>
      <w:r w:rsidRPr="708FC2E1">
        <w:rPr>
          <w:rFonts w:ascii="Calibri" w:hAnsi="Calibri" w:eastAsia="Calibri" w:cs="Calibri"/>
          <w:color w:val="000000" w:themeColor="text1"/>
        </w:rPr>
        <w:t>Each “yes” response counts as 1 point.</w:t>
      </w:r>
    </w:p>
    <w:p w:rsidR="1EB882B2" w:rsidP="00DB7A72" w:rsidRDefault="1EB882B2" w14:paraId="168D10AA" w14:textId="2DC76BD1">
      <w:pPr>
        <w:pStyle w:val="ListParagraph"/>
        <w:numPr>
          <w:ilvl w:val="1"/>
          <w:numId w:val="5"/>
        </w:numPr>
        <w:spacing w:before="240" w:after="240"/>
        <w:rPr>
          <w:rFonts w:ascii="Calibri" w:hAnsi="Calibri" w:eastAsia="Calibri" w:cs="Calibri"/>
          <w:color w:val="000000" w:themeColor="text1"/>
        </w:rPr>
      </w:pPr>
      <w:r w:rsidRPr="708FC2E1">
        <w:rPr>
          <w:rFonts w:ascii="Calibri" w:hAnsi="Calibri" w:eastAsia="Calibri" w:cs="Calibri"/>
          <w:color w:val="000000" w:themeColor="text1"/>
        </w:rPr>
        <w:t>Total score range: 0–6.</w:t>
      </w:r>
    </w:p>
    <w:p w:rsidR="1EB882B2" w:rsidP="708FC2E1" w:rsidRDefault="1EB882B2" w14:paraId="187367EE" w14:textId="1DC749F9">
      <w:p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Interpretation</w:t>
      </w:r>
    </w:p>
    <w:p w:rsidR="1EB882B2" w:rsidP="00DB7A72" w:rsidRDefault="1EB882B2" w14:paraId="5996A99B" w14:textId="2B9ED3E5">
      <w:pPr>
        <w:pStyle w:val="ListParagraph"/>
        <w:numPr>
          <w:ilvl w:val="0"/>
          <w:numId w:val="4"/>
        </w:num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0 points</w:t>
      </w:r>
      <w:r w:rsidRPr="708FC2E1">
        <w:rPr>
          <w:rFonts w:ascii="Calibri" w:hAnsi="Calibri" w:eastAsia="Calibri" w:cs="Calibri"/>
          <w:color w:val="000000" w:themeColor="text1"/>
        </w:rPr>
        <w:t>: Low risk. Reinforce healthy behaviors and provide preventive counseling.</w:t>
      </w:r>
    </w:p>
    <w:p w:rsidR="1EB882B2" w:rsidP="00DB7A72" w:rsidRDefault="1EB882B2" w14:paraId="68C04755" w14:textId="67E572A2">
      <w:pPr>
        <w:pStyle w:val="ListParagraph"/>
        <w:numPr>
          <w:ilvl w:val="0"/>
          <w:numId w:val="4"/>
        </w:num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1–2 points</w:t>
      </w:r>
      <w:r w:rsidRPr="708FC2E1">
        <w:rPr>
          <w:rFonts w:ascii="Calibri" w:hAnsi="Calibri" w:eastAsia="Calibri" w:cs="Calibri"/>
          <w:color w:val="000000" w:themeColor="text1"/>
        </w:rPr>
        <w:t>: Moderate risk. Conduct further assessment and provide a brief intervention using motivational interviewing.</w:t>
      </w:r>
    </w:p>
    <w:p w:rsidR="1EB882B2" w:rsidP="00DB7A72" w:rsidRDefault="1EB882B2" w14:paraId="457879F4" w14:textId="02DAD19E">
      <w:pPr>
        <w:pStyle w:val="ListParagraph"/>
        <w:numPr>
          <w:ilvl w:val="0"/>
          <w:numId w:val="4"/>
        </w:num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3 or more points</w:t>
      </w:r>
      <w:r w:rsidRPr="708FC2E1">
        <w:rPr>
          <w:rFonts w:ascii="Calibri" w:hAnsi="Calibri" w:eastAsia="Calibri" w:cs="Calibri"/>
          <w:color w:val="000000" w:themeColor="text1"/>
        </w:rPr>
        <w:t>: High risk. Indicates likely substance use disorder; consider diagnostic evaluation, referral to treatment, and involve caregivers when appropriate.</w:t>
      </w:r>
    </w:p>
    <w:p w:rsidR="1EB882B2" w:rsidP="708FC2E1" w:rsidRDefault="1EB882B2" w14:paraId="17B97D88" w14:textId="32A99CD9">
      <w:p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Additional Notes</w:t>
      </w:r>
    </w:p>
    <w:p w:rsidR="1EB882B2" w:rsidP="00DB7A72" w:rsidRDefault="1EB882B2" w14:paraId="0F0CEDBA" w14:textId="2C3EAEC1">
      <w:pPr>
        <w:pStyle w:val="ListParagraph"/>
        <w:numPr>
          <w:ilvl w:val="0"/>
          <w:numId w:val="3"/>
        </w:numPr>
        <w:spacing w:before="240" w:after="240"/>
        <w:rPr>
          <w:rFonts w:ascii="Calibri" w:hAnsi="Calibri" w:eastAsia="Calibri" w:cs="Calibri"/>
          <w:color w:val="000000" w:themeColor="text1"/>
        </w:rPr>
      </w:pPr>
      <w:r w:rsidRPr="708FC2E1">
        <w:rPr>
          <w:rFonts w:ascii="Calibri" w:hAnsi="Calibri" w:eastAsia="Calibri" w:cs="Calibri"/>
          <w:color w:val="000000" w:themeColor="text1"/>
        </w:rPr>
        <w:t>The "Car" question is always asked, even if no substance use is reported.</w:t>
      </w:r>
    </w:p>
    <w:p w:rsidR="1EB882B2" w:rsidP="708FC2E1" w:rsidRDefault="1EB882B2" w14:paraId="08142872" w14:textId="0C5625EF">
      <w:pPr>
        <w:pStyle w:val="Heading4"/>
        <w:rPr>
          <w:rFonts w:ascii="Calibri" w:hAnsi="Calibri" w:eastAsia="Calibri" w:cs="Calibri"/>
          <w:b/>
          <w:bCs/>
          <w:i w:val="0"/>
          <w:iCs w:val="0"/>
          <w:color w:val="4F81BD"/>
          <w:sz w:val="24"/>
          <w:szCs w:val="24"/>
        </w:rPr>
      </w:pPr>
      <w:r w:rsidRPr="708FC2E1">
        <w:rPr>
          <w:b/>
          <w:bCs/>
        </w:rPr>
        <w:t>DAST-10 (Drug Abuse Screening Test)</w:t>
      </w:r>
    </w:p>
    <w:p w:rsidR="1EB882B2" w:rsidP="708FC2E1" w:rsidRDefault="1EB882B2" w14:paraId="2FB76223" w14:textId="3BA64A08">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The DAST-10 includes 10 yes/no questions about drug use (not including alcohol or tobacco). Each '</w:t>
      </w:r>
      <w:proofErr w:type="spellStart"/>
      <w:r w:rsidRPr="708FC2E1">
        <w:rPr>
          <w:rFonts w:ascii="Calibri" w:hAnsi="Calibri" w:eastAsia="Calibri" w:cs="Calibri"/>
          <w:color w:val="000000" w:themeColor="text1"/>
          <w:sz w:val="24"/>
          <w:szCs w:val="24"/>
        </w:rPr>
        <w:t>yes'</w:t>
      </w:r>
      <w:proofErr w:type="spellEnd"/>
      <w:r w:rsidRPr="708FC2E1">
        <w:rPr>
          <w:rFonts w:ascii="Calibri" w:hAnsi="Calibri" w:eastAsia="Calibri" w:cs="Calibri"/>
          <w:color w:val="000000" w:themeColor="text1"/>
          <w:sz w:val="24"/>
          <w:szCs w:val="24"/>
        </w:rPr>
        <w:t xml:space="preserve"> response scores 1 point. Total score range: 0-10.</w:t>
      </w:r>
    </w:p>
    <w:p w:rsidR="1EB882B2" w:rsidP="708FC2E1" w:rsidRDefault="1EB882B2" w14:paraId="46D14200" w14:textId="0CF458C8">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Scoring Interpretation:</w:t>
      </w:r>
      <w:r>
        <w:br/>
      </w:r>
      <w:r w:rsidRPr="708FC2E1">
        <w:rPr>
          <w:rFonts w:ascii="Calibri" w:hAnsi="Calibri" w:eastAsia="Calibri" w:cs="Calibri"/>
          <w:color w:val="000000" w:themeColor="text1"/>
          <w:sz w:val="24"/>
          <w:szCs w:val="24"/>
        </w:rPr>
        <w:t>- 0: No problems reported</w:t>
      </w:r>
      <w:r>
        <w:br/>
      </w:r>
      <w:r w:rsidRPr="708FC2E1">
        <w:rPr>
          <w:rFonts w:ascii="Calibri" w:hAnsi="Calibri" w:eastAsia="Calibri" w:cs="Calibri"/>
          <w:color w:val="000000" w:themeColor="text1"/>
          <w:sz w:val="24"/>
          <w:szCs w:val="24"/>
        </w:rPr>
        <w:t>- 1–2: Low level — monitor and reassess</w:t>
      </w:r>
      <w:r>
        <w:br/>
      </w:r>
      <w:r w:rsidRPr="708FC2E1">
        <w:rPr>
          <w:rFonts w:ascii="Calibri" w:hAnsi="Calibri" w:eastAsia="Calibri" w:cs="Calibri"/>
          <w:color w:val="000000" w:themeColor="text1"/>
          <w:sz w:val="24"/>
          <w:szCs w:val="24"/>
        </w:rPr>
        <w:t>- 3–5: Moderate level — consider brief intervention</w:t>
      </w:r>
      <w:r>
        <w:br/>
      </w:r>
      <w:r w:rsidRPr="708FC2E1">
        <w:rPr>
          <w:rFonts w:ascii="Calibri" w:hAnsi="Calibri" w:eastAsia="Calibri" w:cs="Calibri"/>
          <w:color w:val="000000" w:themeColor="text1"/>
          <w:sz w:val="24"/>
          <w:szCs w:val="24"/>
        </w:rPr>
        <w:t>- 6–8: Substantial level — referral to treatment recommended</w:t>
      </w:r>
      <w:r>
        <w:br/>
      </w:r>
      <w:r w:rsidRPr="708FC2E1">
        <w:rPr>
          <w:rFonts w:ascii="Calibri" w:hAnsi="Calibri" w:eastAsia="Calibri" w:cs="Calibri"/>
          <w:color w:val="000000" w:themeColor="text1"/>
          <w:sz w:val="24"/>
          <w:szCs w:val="24"/>
        </w:rPr>
        <w:t>- 9–10: Severe level — intensive assessment and treatment indicated</w:t>
      </w:r>
    </w:p>
    <w:p w:rsidR="1EB882B2" w:rsidP="708FC2E1" w:rsidRDefault="1EB882B2" w14:paraId="2167C69A" w14:textId="6BB7AC91">
      <w:pPr>
        <w:pStyle w:val="Heading4"/>
        <w:rPr>
          <w:rFonts w:ascii="Calibri" w:hAnsi="Calibri" w:eastAsia="Calibri" w:cs="Calibri"/>
          <w:b/>
          <w:bCs/>
          <w:i w:val="0"/>
          <w:iCs w:val="0"/>
          <w:color w:val="4F81BD"/>
          <w:sz w:val="24"/>
          <w:szCs w:val="24"/>
        </w:rPr>
      </w:pPr>
      <w:r w:rsidRPr="708FC2E1">
        <w:rPr>
          <w:b/>
          <w:bCs/>
        </w:rPr>
        <w:t>SBIRT (Screening, Brief Intervention, and Referral to Treatment)</w:t>
      </w:r>
    </w:p>
    <w:p w:rsidR="1EB882B2" w:rsidP="708FC2E1" w:rsidRDefault="1EB882B2" w14:paraId="432B91E8" w14:textId="43443EBD">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SBIRT is not a specific screener but a comprehensive, public health approach to identifying and intervening with individuals at risk for substance use disorders. It incorporates validated screening tools (e.g., AUDIT, DAST) and uses the risk level to determine appropriate follow-up.</w:t>
      </w:r>
    </w:p>
    <w:p w:rsidR="1EB882B2" w:rsidP="708FC2E1" w:rsidRDefault="1EB882B2" w14:paraId="1DF1E5C6" w14:textId="069DCCCE">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General Interpretation:</w:t>
      </w:r>
      <w:r>
        <w:br/>
      </w:r>
      <w:r w:rsidRPr="708FC2E1">
        <w:rPr>
          <w:rFonts w:ascii="Calibri" w:hAnsi="Calibri" w:eastAsia="Calibri" w:cs="Calibri"/>
          <w:color w:val="000000" w:themeColor="text1"/>
          <w:sz w:val="24"/>
          <w:szCs w:val="24"/>
        </w:rPr>
        <w:t>- Low Risk: Provide positive reinforcement</w:t>
      </w:r>
      <w:r>
        <w:br/>
      </w:r>
      <w:r w:rsidRPr="708FC2E1">
        <w:rPr>
          <w:rFonts w:ascii="Calibri" w:hAnsi="Calibri" w:eastAsia="Calibri" w:cs="Calibri"/>
          <w:color w:val="000000" w:themeColor="text1"/>
          <w:sz w:val="24"/>
          <w:szCs w:val="24"/>
        </w:rPr>
        <w:t>- Moderate Risk: Conduct a brief intervention</w:t>
      </w:r>
      <w:r>
        <w:br/>
      </w:r>
      <w:r w:rsidRPr="708FC2E1">
        <w:rPr>
          <w:rFonts w:ascii="Calibri" w:hAnsi="Calibri" w:eastAsia="Calibri" w:cs="Calibri"/>
          <w:color w:val="000000" w:themeColor="text1"/>
          <w:sz w:val="24"/>
          <w:szCs w:val="24"/>
        </w:rPr>
        <w:t>- High Risk: Refer to specialty treatment and provide follow-up</w:t>
      </w:r>
    </w:p>
    <w:p w:rsidR="1EB882B2" w:rsidP="708FC2E1" w:rsidRDefault="1EB882B2" w14:paraId="2D498289" w14:textId="557F9229">
      <w:pPr>
        <w:pStyle w:val="Heading4"/>
        <w:rPr>
          <w:rFonts w:ascii="Calibri" w:hAnsi="Calibri" w:eastAsia="Calibri" w:cs="Calibri"/>
          <w:b/>
          <w:bCs/>
          <w:i w:val="0"/>
          <w:iCs w:val="0"/>
          <w:color w:val="4F81BD"/>
          <w:sz w:val="24"/>
          <w:szCs w:val="24"/>
        </w:rPr>
      </w:pPr>
      <w:r w:rsidRPr="708FC2E1">
        <w:rPr>
          <w:b/>
          <w:bCs/>
        </w:rPr>
        <w:t>TAPS (Tobacco, Alcohol, Prescription Medication, and Other Substance Use)</w:t>
      </w:r>
    </w:p>
    <w:p w:rsidR="1EB882B2" w:rsidP="708FC2E1" w:rsidRDefault="1EB882B2" w14:paraId="71F4612A" w14:textId="6AF57112">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The TAPS tool includes a 2-part screen:</w:t>
      </w:r>
      <w:r>
        <w:br/>
      </w:r>
      <w:r w:rsidRPr="708FC2E1">
        <w:rPr>
          <w:rFonts w:ascii="Calibri" w:hAnsi="Calibri" w:eastAsia="Calibri" w:cs="Calibri"/>
          <w:color w:val="000000" w:themeColor="text1"/>
          <w:sz w:val="24"/>
          <w:szCs w:val="24"/>
        </w:rPr>
        <w:t>- TAPS-1: A brief screening (yes/no) on past 12-month use</w:t>
      </w:r>
      <w:r>
        <w:br/>
      </w:r>
      <w:r w:rsidRPr="708FC2E1">
        <w:rPr>
          <w:rFonts w:ascii="Calibri" w:hAnsi="Calibri" w:eastAsia="Calibri" w:cs="Calibri"/>
          <w:color w:val="000000" w:themeColor="text1"/>
          <w:sz w:val="24"/>
          <w:szCs w:val="24"/>
        </w:rPr>
        <w:t>- TAPS-2: A follow-up that evaluates frequency of use for substances reported in TAPS-1</w:t>
      </w:r>
    </w:p>
    <w:p w:rsidR="1EB882B2" w:rsidP="708FC2E1" w:rsidRDefault="1EB882B2" w14:paraId="2849673A" w14:textId="283B4DF3">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Scoring Interpretation (TAPS-2):</w:t>
      </w:r>
      <w:r>
        <w:br/>
      </w:r>
      <w:r w:rsidRPr="708FC2E1">
        <w:rPr>
          <w:rFonts w:ascii="Calibri" w:hAnsi="Calibri" w:eastAsia="Calibri" w:cs="Calibri"/>
          <w:color w:val="000000" w:themeColor="text1"/>
          <w:sz w:val="24"/>
          <w:szCs w:val="24"/>
        </w:rPr>
        <w:t>- Score of 1: Occasional use — brief intervention may be sufficient</w:t>
      </w:r>
      <w:r>
        <w:br/>
      </w:r>
      <w:r w:rsidRPr="708FC2E1">
        <w:rPr>
          <w:rFonts w:ascii="Calibri" w:hAnsi="Calibri" w:eastAsia="Calibri" w:cs="Calibri"/>
          <w:color w:val="000000" w:themeColor="text1"/>
          <w:sz w:val="24"/>
          <w:szCs w:val="24"/>
        </w:rPr>
        <w:t>- Score of 2+: Indicates more frequent use — further assessment or referral recommended</w:t>
      </w:r>
      <w:r>
        <w:br/>
      </w:r>
      <w:r w:rsidRPr="708FC2E1">
        <w:rPr>
          <w:rFonts w:ascii="Calibri" w:hAnsi="Calibri" w:eastAsia="Calibri" w:cs="Calibri"/>
          <w:color w:val="000000" w:themeColor="text1"/>
          <w:sz w:val="24"/>
          <w:szCs w:val="24"/>
        </w:rPr>
        <w:t>- A score of 2 or more for any substance is generally considered a positive screen</w:t>
      </w:r>
    </w:p>
    <w:p w:rsidR="1EB882B2" w:rsidP="708FC2E1" w:rsidRDefault="1EB882B2" w14:paraId="181E8BEF" w14:textId="6FC8460C">
      <w:pPr>
        <w:pStyle w:val="Heading4"/>
        <w:rPr>
          <w:rFonts w:ascii="Calibri" w:hAnsi="Calibri" w:eastAsia="Calibri" w:cs="Calibri"/>
          <w:b/>
          <w:bCs/>
          <w:i w:val="0"/>
          <w:iCs w:val="0"/>
          <w:color w:val="4F81BD"/>
          <w:sz w:val="24"/>
          <w:szCs w:val="24"/>
        </w:rPr>
      </w:pPr>
      <w:r w:rsidRPr="708FC2E1">
        <w:rPr>
          <w:b/>
          <w:bCs/>
        </w:rPr>
        <w:t>ASSIST-LITE (Alcohol, Smoking and Substance Involvement Screening Test – Lite Version)</w:t>
      </w:r>
    </w:p>
    <w:p w:rsidR="1EB882B2" w:rsidP="708FC2E1" w:rsidRDefault="1EB882B2" w14:paraId="5BD784F4" w14:textId="0158B0BF">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The ASSIST-LITE is a shorter version of the original WHO ASSIST tool, developed to quickly identify substance use risk across various categories (alcohol, cannabis, cocaine, etc.). It is suitable for primary care and time-limited settings.</w:t>
      </w:r>
    </w:p>
    <w:p w:rsidR="1EB882B2" w:rsidP="708FC2E1" w:rsidRDefault="1EB882B2" w14:paraId="15F38A5F" w14:textId="76B01869">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Scoring Interpretation (by substance):</w:t>
      </w:r>
      <w:r>
        <w:br/>
      </w:r>
      <w:r w:rsidRPr="708FC2E1">
        <w:rPr>
          <w:rFonts w:ascii="Calibri" w:hAnsi="Calibri" w:eastAsia="Calibri" w:cs="Calibri"/>
          <w:color w:val="000000" w:themeColor="text1"/>
          <w:sz w:val="24"/>
          <w:szCs w:val="24"/>
        </w:rPr>
        <w:t>- 0-3: Low risk — no intervention needed</w:t>
      </w:r>
      <w:r>
        <w:br/>
      </w:r>
      <w:r w:rsidRPr="708FC2E1">
        <w:rPr>
          <w:rFonts w:ascii="Calibri" w:hAnsi="Calibri" w:eastAsia="Calibri" w:cs="Calibri"/>
          <w:color w:val="000000" w:themeColor="text1"/>
          <w:sz w:val="24"/>
          <w:szCs w:val="24"/>
        </w:rPr>
        <w:t>- 4-26: Moderate risk — brief intervention recommended</w:t>
      </w:r>
      <w:r>
        <w:br/>
      </w:r>
      <w:r w:rsidRPr="708FC2E1">
        <w:rPr>
          <w:rFonts w:ascii="Calibri" w:hAnsi="Calibri" w:eastAsia="Calibri" w:cs="Calibri"/>
          <w:color w:val="000000" w:themeColor="text1"/>
          <w:sz w:val="24"/>
          <w:szCs w:val="24"/>
        </w:rPr>
        <w:t>- 27+: High risk — referral for specialty treatment</w:t>
      </w:r>
      <w:r>
        <w:br/>
      </w:r>
      <w:r w:rsidRPr="708FC2E1">
        <w:rPr>
          <w:rFonts w:ascii="Calibri" w:hAnsi="Calibri" w:eastAsia="Calibri" w:cs="Calibri"/>
          <w:color w:val="000000" w:themeColor="text1"/>
          <w:sz w:val="24"/>
          <w:szCs w:val="24"/>
        </w:rPr>
        <w:t>(Note: Exact cut points may vary by setting; use clinical judgment.)</w:t>
      </w:r>
    </w:p>
    <w:p w:rsidR="1EB882B2" w:rsidP="708FC2E1" w:rsidRDefault="1EB882B2" w14:paraId="5C2D9088" w14:textId="63BCEB52">
      <w:pPr>
        <w:pStyle w:val="Heading4"/>
        <w:rPr>
          <w:rFonts w:ascii="Calibri" w:hAnsi="Calibri" w:eastAsia="Calibri" w:cs="Calibri"/>
          <w:b/>
          <w:bCs/>
          <w:i w:val="0"/>
          <w:iCs w:val="0"/>
          <w:color w:val="156082" w:themeColor="accent1"/>
          <w:sz w:val="24"/>
          <w:szCs w:val="24"/>
        </w:rPr>
      </w:pPr>
      <w:r w:rsidRPr="708FC2E1">
        <w:rPr>
          <w:b/>
          <w:bCs/>
          <w:lang w:val="en"/>
        </w:rPr>
        <w:t>4Ps Plus:</w:t>
      </w:r>
    </w:p>
    <w:p w:rsidR="1EB882B2" w:rsidP="708FC2E1" w:rsidRDefault="1EB882B2" w14:paraId="6AD011EC" w14:textId="156B49A1">
      <w:pPr>
        <w:spacing w:before="240" w:after="240"/>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 xml:space="preserve">The </w:t>
      </w:r>
      <w:r w:rsidRPr="708FC2E1">
        <w:rPr>
          <w:rFonts w:ascii="Calibri" w:hAnsi="Calibri" w:eastAsia="Calibri" w:cs="Calibri"/>
          <w:b/>
          <w:bCs/>
          <w:color w:val="000000" w:themeColor="text1"/>
          <w:sz w:val="24"/>
          <w:szCs w:val="24"/>
        </w:rPr>
        <w:t>4Ps Plus®</w:t>
      </w:r>
      <w:r w:rsidRPr="708FC2E1">
        <w:rPr>
          <w:rFonts w:ascii="Calibri" w:hAnsi="Calibri" w:eastAsia="Calibri" w:cs="Calibri"/>
          <w:color w:val="000000" w:themeColor="text1"/>
          <w:sz w:val="24"/>
          <w:szCs w:val="24"/>
        </w:rPr>
        <w:t xml:space="preserve"> is a brief, validated screening tool designed to identify </w:t>
      </w:r>
      <w:r w:rsidRPr="708FC2E1">
        <w:rPr>
          <w:rFonts w:ascii="Calibri" w:hAnsi="Calibri" w:eastAsia="Calibri" w:cs="Calibri"/>
          <w:b/>
          <w:bCs/>
          <w:color w:val="000000" w:themeColor="text1"/>
          <w:sz w:val="24"/>
          <w:szCs w:val="24"/>
        </w:rPr>
        <w:t>substance use risk during pregnancy</w:t>
      </w:r>
      <w:r w:rsidRPr="708FC2E1">
        <w:rPr>
          <w:rFonts w:ascii="Calibri" w:hAnsi="Calibri" w:eastAsia="Calibri" w:cs="Calibri"/>
          <w:color w:val="000000" w:themeColor="text1"/>
          <w:sz w:val="24"/>
          <w:szCs w:val="24"/>
        </w:rPr>
        <w:t xml:space="preserve"> in a safe, nonjudgmental way. It helps providers open a supportive conversation early in prenatal care. (Distinct from actual substance-use risk level)</w:t>
      </w:r>
    </w:p>
    <w:p w:rsidR="1EB882B2" w:rsidP="708FC2E1" w:rsidRDefault="1EB882B2" w14:paraId="3F6A5A42" w14:textId="3CB45CE6">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A “yes” to any question signals the need for further discussion, not judgment. The goal is to identify risk early, provide brief intervention or education, and connect patients with support when needed. A “Yes” response triggers action to complete one of the validated measures listed above.</w:t>
      </w:r>
    </w:p>
    <w:p w:rsidR="1EB882B2" w:rsidP="708FC2E1" w:rsidRDefault="1EB882B2" w14:paraId="059DA02D" w14:textId="47AEB049">
      <w:pPr>
        <w:pStyle w:val="Heading4"/>
        <w:rPr>
          <w:rFonts w:ascii="Calibri" w:hAnsi="Calibri" w:eastAsia="Calibri" w:cs="Calibri"/>
          <w:b/>
          <w:bCs/>
          <w:i w:val="0"/>
          <w:iCs w:val="0"/>
          <w:color w:val="4F81BD"/>
          <w:sz w:val="24"/>
          <w:szCs w:val="24"/>
        </w:rPr>
      </w:pPr>
      <w:r w:rsidRPr="708FC2E1">
        <w:rPr>
          <w:b/>
          <w:bCs/>
        </w:rPr>
        <w:t>C-SSRS (Columbia–Suicide Severity Rating Scale)</w:t>
      </w:r>
    </w:p>
    <w:p w:rsidR="1EB882B2" w:rsidP="708FC2E1" w:rsidRDefault="1EB882B2" w14:paraId="45852678" w14:textId="4D34AD15">
      <w:pPr>
        <w:spacing w:before="240" w:after="240"/>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The C-SSRS is a brief, evidence-based tool used to identify the presence and severity of suicidal ideation and behavior. It is suitable for primary care, behavioral health, and any setting where suicide risk needs to be assessed quickly and clearly.</w:t>
      </w:r>
    </w:p>
    <w:p w:rsidR="1EB882B2" w:rsidP="708FC2E1" w:rsidRDefault="1EB882B2" w14:paraId="3536C376" w14:textId="7FCBECD1">
      <w:pPr>
        <w:spacing w:before="240" w:after="240"/>
        <w:rPr>
          <w:rFonts w:ascii="Calibri" w:hAnsi="Calibri" w:eastAsia="Calibri" w:cs="Calibri"/>
          <w:color w:val="000000" w:themeColor="text1"/>
          <w:sz w:val="24"/>
          <w:szCs w:val="24"/>
        </w:rPr>
      </w:pPr>
      <w:r w:rsidRPr="708FC2E1">
        <w:rPr>
          <w:rFonts w:ascii="Calibri" w:hAnsi="Calibri" w:eastAsia="Calibri" w:cs="Calibri"/>
          <w:b/>
          <w:bCs/>
          <w:color w:val="000000" w:themeColor="text1"/>
          <w:sz w:val="24"/>
          <w:szCs w:val="24"/>
        </w:rPr>
        <w:t>Scoring Interpretation:</w:t>
      </w:r>
    </w:p>
    <w:p w:rsidR="1EB882B2" w:rsidP="00DB7A72" w:rsidRDefault="1EB882B2" w14:paraId="7365E304" w14:textId="59331E19">
      <w:pPr>
        <w:pStyle w:val="ListParagraph"/>
        <w:numPr>
          <w:ilvl w:val="0"/>
          <w:numId w:val="2"/>
        </w:numPr>
        <w:spacing w:before="240" w:after="240"/>
        <w:rPr>
          <w:rFonts w:ascii="Calibri" w:hAnsi="Calibri" w:eastAsia="Calibri" w:cs="Calibri"/>
          <w:color w:val="000000" w:themeColor="text1"/>
          <w:sz w:val="24"/>
          <w:szCs w:val="24"/>
        </w:rPr>
      </w:pPr>
      <w:r w:rsidRPr="708FC2E1">
        <w:rPr>
          <w:rFonts w:ascii="Calibri" w:hAnsi="Calibri" w:eastAsia="Calibri" w:cs="Calibri"/>
          <w:b/>
          <w:bCs/>
          <w:color w:val="000000" w:themeColor="text1"/>
          <w:sz w:val="24"/>
          <w:szCs w:val="24"/>
        </w:rPr>
        <w:t>Ideation Levels (1–5):</w:t>
      </w:r>
    </w:p>
    <w:p w:rsidR="1EB882B2" w:rsidP="00DB7A72" w:rsidRDefault="1EB882B2" w14:paraId="559FC937" w14:textId="4B52EF4C">
      <w:pPr>
        <w:pStyle w:val="ListParagraph"/>
        <w:numPr>
          <w:ilvl w:val="1"/>
          <w:numId w:val="2"/>
        </w:numPr>
        <w:spacing w:before="240" w:after="240"/>
        <w:rPr>
          <w:rFonts w:ascii="Calibri" w:hAnsi="Calibri" w:eastAsia="Calibri" w:cs="Calibri"/>
          <w:color w:val="000000" w:themeColor="text1"/>
          <w:sz w:val="24"/>
          <w:szCs w:val="24"/>
        </w:rPr>
      </w:pPr>
      <w:r w:rsidRPr="708FC2E1">
        <w:rPr>
          <w:rFonts w:ascii="Calibri" w:hAnsi="Calibri" w:eastAsia="Calibri" w:cs="Calibri"/>
          <w:b/>
          <w:bCs/>
          <w:color w:val="000000" w:themeColor="text1"/>
          <w:sz w:val="24"/>
          <w:szCs w:val="24"/>
        </w:rPr>
        <w:t>1–2:</w:t>
      </w:r>
      <w:r w:rsidRPr="708FC2E1">
        <w:rPr>
          <w:rFonts w:ascii="Calibri" w:hAnsi="Calibri" w:eastAsia="Calibri" w:cs="Calibri"/>
          <w:color w:val="000000" w:themeColor="text1"/>
          <w:sz w:val="24"/>
          <w:szCs w:val="24"/>
        </w:rPr>
        <w:t xml:space="preserve"> Lower-level suicidal ideation (wish to be dead or non-specific thoughts) — monitor, assess contributing factors, provide psychoeducation.</w:t>
      </w:r>
    </w:p>
    <w:p w:rsidR="1EB882B2" w:rsidP="00DB7A72" w:rsidRDefault="1EB882B2" w14:paraId="1397EB0E" w14:textId="0CD4DAE7">
      <w:pPr>
        <w:pStyle w:val="ListParagraph"/>
        <w:numPr>
          <w:ilvl w:val="1"/>
          <w:numId w:val="2"/>
        </w:numPr>
        <w:spacing w:before="240" w:after="240"/>
        <w:rPr>
          <w:rFonts w:ascii="Calibri" w:hAnsi="Calibri" w:eastAsia="Calibri" w:cs="Calibri"/>
          <w:color w:val="000000" w:themeColor="text1"/>
          <w:sz w:val="24"/>
          <w:szCs w:val="24"/>
        </w:rPr>
      </w:pPr>
      <w:r w:rsidRPr="708FC2E1">
        <w:rPr>
          <w:rFonts w:ascii="Calibri" w:hAnsi="Calibri" w:eastAsia="Calibri" w:cs="Calibri"/>
          <w:b/>
          <w:bCs/>
          <w:color w:val="000000" w:themeColor="text1"/>
          <w:sz w:val="24"/>
          <w:szCs w:val="24"/>
        </w:rPr>
        <w:t>3–5:</w:t>
      </w:r>
      <w:r w:rsidRPr="708FC2E1">
        <w:rPr>
          <w:rFonts w:ascii="Calibri" w:hAnsi="Calibri" w:eastAsia="Calibri" w:cs="Calibri"/>
          <w:color w:val="000000" w:themeColor="text1"/>
          <w:sz w:val="24"/>
          <w:szCs w:val="24"/>
        </w:rPr>
        <w:t xml:space="preserve"> Clinically significant active suicidal ideation (method, intent, or plan) — requires a more detailed safety assessment and intervention.</w:t>
      </w:r>
    </w:p>
    <w:p w:rsidR="1EB882B2" w:rsidP="00DB7A72" w:rsidRDefault="1EB882B2" w14:paraId="5951B2FA" w14:textId="587D9947">
      <w:pPr>
        <w:pStyle w:val="ListParagraph"/>
        <w:numPr>
          <w:ilvl w:val="0"/>
          <w:numId w:val="2"/>
        </w:numPr>
        <w:spacing w:before="240" w:after="240"/>
        <w:rPr>
          <w:rFonts w:ascii="Calibri" w:hAnsi="Calibri" w:eastAsia="Calibri" w:cs="Calibri"/>
          <w:color w:val="000000" w:themeColor="text1"/>
          <w:sz w:val="24"/>
          <w:szCs w:val="24"/>
        </w:rPr>
      </w:pPr>
      <w:r w:rsidRPr="708FC2E1">
        <w:rPr>
          <w:rFonts w:ascii="Calibri" w:hAnsi="Calibri" w:eastAsia="Calibri" w:cs="Calibri"/>
          <w:b/>
          <w:bCs/>
          <w:color w:val="000000" w:themeColor="text1"/>
          <w:sz w:val="24"/>
          <w:szCs w:val="24"/>
        </w:rPr>
        <w:t>Behavior Items:</w:t>
      </w:r>
    </w:p>
    <w:p w:rsidR="1EB882B2" w:rsidP="00DB7A72" w:rsidRDefault="1EB882B2" w14:paraId="3199AFEF" w14:textId="72FBE55E">
      <w:pPr>
        <w:pStyle w:val="ListParagraph"/>
        <w:numPr>
          <w:ilvl w:val="1"/>
          <w:numId w:val="2"/>
        </w:numPr>
        <w:spacing w:before="240" w:after="240"/>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 xml:space="preserve">Any endorsed suicidal behavior (e.g., preparatory actions, aborted or actual attempts) indicates </w:t>
      </w:r>
      <w:r w:rsidRPr="708FC2E1">
        <w:rPr>
          <w:rFonts w:ascii="Calibri" w:hAnsi="Calibri" w:eastAsia="Calibri" w:cs="Calibri"/>
          <w:b/>
          <w:bCs/>
          <w:color w:val="000000" w:themeColor="text1"/>
          <w:sz w:val="24"/>
          <w:szCs w:val="24"/>
        </w:rPr>
        <w:t>elevated risk</w:t>
      </w:r>
      <w:r w:rsidRPr="708FC2E1">
        <w:rPr>
          <w:rFonts w:ascii="Calibri" w:hAnsi="Calibri" w:eastAsia="Calibri" w:cs="Calibri"/>
          <w:color w:val="000000" w:themeColor="text1"/>
          <w:sz w:val="24"/>
          <w:szCs w:val="24"/>
        </w:rPr>
        <w:t xml:space="preserve"> and warrants immediate, more intensive clinical follow-up.</w:t>
      </w:r>
    </w:p>
    <w:p w:rsidR="708FC2E1" w:rsidP="07EA80C5" w:rsidRDefault="1EB882B2" w14:paraId="063B1BA3" w14:textId="7B80D8F9">
      <w:pPr>
        <w:spacing w:before="240" w:beforeAutospacing="1" w:after="240" w:afterAutospacing="1" w:line="240" w:lineRule="auto"/>
        <w:rPr>
          <w:rFonts w:ascii="Calibri" w:hAnsi="Calibri" w:eastAsia="Calibri" w:cs="Calibri"/>
          <w:color w:val="000000" w:themeColor="text1"/>
          <w:sz w:val="24"/>
          <w:szCs w:val="24"/>
        </w:rPr>
      </w:pPr>
      <w:r w:rsidRPr="07EA80C5">
        <w:rPr>
          <w:rFonts w:ascii="Calibri" w:hAnsi="Calibri" w:eastAsia="Calibri" w:cs="Calibri"/>
          <w:i/>
          <w:iCs/>
          <w:color w:val="000000" w:themeColor="text1"/>
          <w:sz w:val="24"/>
          <w:szCs w:val="24"/>
        </w:rPr>
        <w:t xml:space="preserve">(Note: The C-SSRS is not scored by adding points; the </w:t>
      </w:r>
      <w:r w:rsidRPr="07EA80C5">
        <w:rPr>
          <w:rFonts w:ascii="Calibri" w:hAnsi="Calibri" w:eastAsia="Calibri" w:cs="Calibri"/>
          <w:b/>
          <w:bCs/>
          <w:i/>
          <w:iCs/>
          <w:color w:val="000000" w:themeColor="text1"/>
          <w:sz w:val="24"/>
          <w:szCs w:val="24"/>
        </w:rPr>
        <w:t>highest level of ideation or behavior endorsed</w:t>
      </w:r>
      <w:r w:rsidRPr="07EA80C5">
        <w:rPr>
          <w:rFonts w:ascii="Calibri" w:hAnsi="Calibri" w:eastAsia="Calibri" w:cs="Calibri"/>
          <w:i/>
          <w:iCs/>
          <w:color w:val="000000" w:themeColor="text1"/>
          <w:sz w:val="24"/>
          <w:szCs w:val="24"/>
        </w:rPr>
        <w:t xml:space="preserve"> determines clinical concern. Use clinical judgment and consider risk/protective factors.)</w:t>
      </w:r>
    </w:p>
    <w:sectPr w:rsidR="708FC2E1">
      <w:headerReference w:type="default" r:id="rId17"/>
      <w:footerReference w:type="even" r:id="rId18"/>
      <w:footerReference w:type="default" r:id="rId19"/>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D" w:author="Monica Dedhia" w:date="2025-12-18T11:25:00Z" w:id="0">
    <w:p w:rsidR="004C05A6" w:rsidRDefault="004C05A6" w14:paraId="470CDC45" w14:textId="37BB5C9A">
      <w:pPr>
        <w:pStyle w:val="CommentText"/>
      </w:pPr>
      <w:r>
        <w:rPr>
          <w:rStyle w:val="CommentReference"/>
        </w:rPr>
        <w:annotationRef/>
      </w:r>
      <w:r w:rsidRPr="0B3E1711">
        <w:t>Do we plan to score the baseline data; it appears other rubrics did not score this. If Yes, I will copy the same criteria listed in 4A &amp; 4B</w:t>
      </w:r>
    </w:p>
  </w:comment>
  <w:comment w:initials="RI" w:author="Rachel  Isaacson" w:date="2026-01-07T10:36:00Z" w:id="1">
    <w:p w:rsidR="00414232" w:rsidP="00414232" w:rsidRDefault="00414232" w14:paraId="32FA809F" w14:textId="77777777">
      <w:r>
        <w:rPr>
          <w:rStyle w:val="CommentReference"/>
        </w:rPr>
        <w:annotationRef/>
      </w:r>
      <w:r>
        <w:rPr>
          <w:sz w:val="20"/>
          <w:szCs w:val="20"/>
        </w:rPr>
        <w:t xml:space="preserve">We want practices to complete the baseline data, so instead of a score, you could do a pass/fail if they include the data or not. Similar to what this looks like on the SH template for the performance data. </w:t>
      </w:r>
    </w:p>
  </w:comment>
  <w:comment w:initials="RI" w:author="Rachel  Isaacson" w:date="2026-01-07T02:51:00Z" w:id="2">
    <w:p w:rsidR="005F5956" w:rsidRDefault="005F5956" w14:paraId="08327896" w14:textId="50C4CC77">
      <w:pPr>
        <w:pStyle w:val="CommentText"/>
      </w:pPr>
      <w:r>
        <w:rPr>
          <w:rStyle w:val="CommentReference"/>
        </w:rPr>
        <w:annotationRef/>
      </w:r>
      <w:r w:rsidRPr="66560E63">
        <w:t>Same comment as on the SH template, but why have these two examples here?</w:t>
      </w:r>
    </w:p>
  </w:comment>
  <w:comment w:initials="RI" w:author="Rachel  Isaacson" w:date="2026-01-07T02:52:00Z" w:id="3">
    <w:p w:rsidR="005F5956" w:rsidRDefault="005F5956" w14:paraId="24EC5244" w14:textId="75992CCE">
      <w:pPr>
        <w:pStyle w:val="CommentText"/>
      </w:pPr>
      <w:r>
        <w:rPr>
          <w:rStyle w:val="CommentReference"/>
        </w:rPr>
        <w:annotationRef/>
      </w:r>
      <w:r w:rsidRPr="7EC2EB33">
        <w:t xml:space="preserve">They could go in the reporting period below. i was  confused when i first saw them here. </w:t>
      </w:r>
    </w:p>
  </w:comment>
  <w:comment w:initials="RI" w:author="Rachel  Isaacson" w:date="2026-01-07T02:56:00Z" w:id="4">
    <w:p w:rsidR="005F5956" w:rsidRDefault="005F5956" w14:paraId="50335214" w14:textId="7C1E6093">
      <w:pPr>
        <w:pStyle w:val="CommentText"/>
      </w:pPr>
      <w:r>
        <w:rPr>
          <w:rStyle w:val="CommentReference"/>
        </w:rPr>
        <w:annotationRef/>
      </w:r>
      <w:r w:rsidRPr="1A84111B">
        <w:t>Same comments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0CDC45" w15:done="1"/>
  <w15:commentEx w15:paraId="32FA809F" w15:paraIdParent="470CDC45" w15:done="1"/>
  <w15:commentEx w15:paraId="08327896" w15:done="1"/>
  <w15:commentEx w15:paraId="24EC5244" w15:paraIdParent="08327896" w15:done="1"/>
  <w15:commentEx w15:paraId="503352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AC0532" w16cex:dateUtc="2025-12-18T19:25:00Z"/>
  <w16cex:commentExtensible w16cex:durableId="3CAC5D71" w16cex:dateUtc="2026-01-07T18:36:00Z"/>
  <w16cex:commentExtensible w16cex:durableId="0FE66EB1" w16cex:dateUtc="2026-01-07T18:51:00Z"/>
  <w16cex:commentExtensible w16cex:durableId="7309CA3D" w16cex:dateUtc="2026-01-07T18:52:00Z"/>
  <w16cex:commentExtensible w16cex:durableId="19FAB2B4" w16cex:dateUtc="2026-01-07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0CDC45" w16cid:durableId="4EAC0532"/>
  <w16cid:commentId w16cid:paraId="32FA809F" w16cid:durableId="3CAC5D71"/>
  <w16cid:commentId w16cid:paraId="08327896" w16cid:durableId="0FE66EB1"/>
  <w16cid:commentId w16cid:paraId="24EC5244" w16cid:durableId="7309CA3D"/>
  <w16cid:commentId w16cid:paraId="50335214" w16cid:durableId="19FAB2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D2" w:rsidRDefault="008659D2" w14:paraId="5228491D" w14:textId="77777777">
      <w:pPr>
        <w:spacing w:after="0" w:line="240" w:lineRule="auto"/>
      </w:pPr>
      <w:r>
        <w:separator/>
      </w:r>
    </w:p>
  </w:endnote>
  <w:endnote w:type="continuationSeparator" w:id="0">
    <w:p w:rsidR="008659D2" w:rsidRDefault="008659D2" w14:paraId="369155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6658216"/>
      <w:docPartObj>
        <w:docPartGallery w:val="Page Numbers (Bottom of Page)"/>
        <w:docPartUnique/>
      </w:docPartObj>
    </w:sdtPr>
    <w:sdtContent>
      <w:p w:rsidR="00B84AF9" w:rsidP="005F5956" w:rsidRDefault="00B84AF9" w14:paraId="0E830542" w14:textId="29F07D6C">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B84AF9" w:rsidRDefault="00B84AF9" w14:paraId="4A17CF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7618744"/>
      <w:docPartObj>
        <w:docPartGallery w:val="Page Numbers (Bottom of Page)"/>
        <w:docPartUnique/>
      </w:docPartObj>
    </w:sdtPr>
    <w:sdtContent>
      <w:p w:rsidR="00B84AF9" w:rsidP="005F5956" w:rsidRDefault="00B84AF9" w14:paraId="7FD2F51D" w14:textId="624CCA3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tbl>
    <w:tblPr>
      <w:tblW w:w="0" w:type="auto"/>
      <w:tblLayout w:type="fixed"/>
      <w:tblLook w:val="06A0" w:firstRow="1" w:lastRow="0" w:firstColumn="1" w:lastColumn="0" w:noHBand="1" w:noVBand="1"/>
    </w:tblPr>
    <w:tblGrid>
      <w:gridCol w:w="3120"/>
      <w:gridCol w:w="3120"/>
      <w:gridCol w:w="3120"/>
    </w:tblGrid>
    <w:tr w:rsidR="0511FAA6" w:rsidTr="0511FAA6" w14:paraId="648079D9" w14:textId="77777777">
      <w:trPr>
        <w:trHeight w:val="300"/>
      </w:trPr>
      <w:tc>
        <w:tcPr>
          <w:tcW w:w="3120" w:type="dxa"/>
        </w:tcPr>
        <w:p w:rsidR="0511FAA6" w:rsidP="0511FAA6" w:rsidRDefault="0511FAA6" w14:paraId="1B7DDACE" w14:textId="02F4F6FB">
          <w:pPr>
            <w:pStyle w:val="Header"/>
            <w:ind w:left="-115"/>
          </w:pPr>
        </w:p>
      </w:tc>
      <w:tc>
        <w:tcPr>
          <w:tcW w:w="3120" w:type="dxa"/>
        </w:tcPr>
        <w:p w:rsidR="0511FAA6" w:rsidP="0511FAA6" w:rsidRDefault="0511FAA6" w14:paraId="330C6536" w14:textId="5DBFEC8C">
          <w:pPr>
            <w:pStyle w:val="Header"/>
            <w:jc w:val="center"/>
          </w:pPr>
        </w:p>
      </w:tc>
      <w:tc>
        <w:tcPr>
          <w:tcW w:w="3120" w:type="dxa"/>
        </w:tcPr>
        <w:p w:rsidR="0511FAA6" w:rsidP="0511FAA6" w:rsidRDefault="0511FAA6" w14:paraId="00602A86" w14:textId="0D5D4867">
          <w:pPr>
            <w:pStyle w:val="Header"/>
            <w:ind w:right="-115"/>
            <w:jc w:val="right"/>
          </w:pPr>
        </w:p>
      </w:tc>
    </w:tr>
  </w:tbl>
  <w:p w:rsidR="0511FAA6" w:rsidP="0511FAA6" w:rsidRDefault="0511FAA6" w14:paraId="36950D02" w14:textId="46E9C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D2" w:rsidRDefault="008659D2" w14:paraId="0ECFF881" w14:textId="77777777">
      <w:pPr>
        <w:spacing w:after="0" w:line="240" w:lineRule="auto"/>
      </w:pPr>
      <w:r>
        <w:separator/>
      </w:r>
    </w:p>
  </w:footnote>
  <w:footnote w:type="continuationSeparator" w:id="0">
    <w:p w:rsidR="008659D2" w:rsidRDefault="008659D2" w14:paraId="68BEED4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739A7" w:rsidR="0511FAA6" w:rsidP="754C0BB2" w:rsidRDefault="754C0BB2" w14:paraId="0F42C567" w14:textId="7A9D7902">
    <w:pPr>
      <w:tabs>
        <w:tab w:val="center" w:pos="4680"/>
        <w:tab w:val="right" w:pos="9360"/>
      </w:tabs>
      <w:spacing w:after="0" w:line="240" w:lineRule="auto"/>
      <w:rPr>
        <w:rFonts w:ascii="Aptos" w:hAnsi="Aptos" w:eastAsia="Aptos" w:cs="Aptos"/>
        <w:color w:val="000000" w:themeColor="text1"/>
      </w:rPr>
    </w:pPr>
    <w:r>
      <w:rPr>
        <w:noProof/>
      </w:rPr>
      <w:drawing>
        <wp:inline distT="0" distB="0" distL="0" distR="0" wp14:anchorId="3F200857" wp14:editId="4C63F2DE">
          <wp:extent cx="1266228" cy="633114"/>
          <wp:effectExtent l="0" t="0" r="0" b="0"/>
          <wp:docPr id="1144722288" name="Picture 114472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66228" cy="633114"/>
                  </a:xfrm>
                  <a:prstGeom prst="rect">
                    <a:avLst/>
                  </a:prstGeom>
                </pic:spPr>
              </pic:pic>
            </a:graphicData>
          </a:graphic>
        </wp:inline>
      </w:drawing>
    </w:r>
  </w:p>
  <w:p w:rsidRPr="00D739A7" w:rsidR="0511FAA6" w:rsidP="00D739A7" w:rsidRDefault="346546F8" w14:paraId="31251108" w14:textId="104B605D">
    <w:pPr>
      <w:tabs>
        <w:tab w:val="center" w:pos="4680"/>
        <w:tab w:val="right" w:pos="9360"/>
      </w:tabs>
      <w:spacing w:after="0" w:line="240" w:lineRule="auto"/>
      <w:rPr>
        <w:rFonts w:ascii="Aptos" w:hAnsi="Aptos" w:eastAsia="Aptos" w:cs="Aptos"/>
        <w:color w:val="000000" w:themeColor="text1"/>
      </w:rPr>
    </w:pPr>
    <w:r w:rsidRPr="346546F8">
      <w:rPr>
        <w:rFonts w:eastAsia="Aptos" w:cs="Aptos"/>
        <w:color w:val="000000" w:themeColor="text1"/>
        <w:sz w:val="24"/>
        <w:szCs w:val="24"/>
      </w:rPr>
      <w:t>Equity and Practice Transformation (EPT) Payment Program</w:t>
    </w:r>
  </w:p>
  <w:p w:rsidR="346546F8" w:rsidP="346546F8" w:rsidRDefault="07EA80C5" w14:paraId="358A9B6B" w14:textId="0A3ABD5B">
    <w:pPr>
      <w:pStyle w:val="Header"/>
    </w:pPr>
    <w:r w:rsidRPr="07EA80C5">
      <w:rPr>
        <w:rFonts w:eastAsia="Times New Roman" w:cs="Times New Roman"/>
        <w:color w:val="000000" w:themeColor="text1"/>
        <w:sz w:val="24"/>
        <w:szCs w:val="24"/>
      </w:rPr>
      <w:t>Behavioral Health Screening &amp; Linkage Rubric</w:t>
    </w:r>
  </w:p>
  <w:p w:rsidR="00D739A7" w:rsidP="0511FAA6" w:rsidRDefault="00D739A7" w14:paraId="365949BE" w14:textId="77777777">
    <w:pPr>
      <w:pStyle w:val="Header"/>
      <w:rPr>
        <w:rFonts w:eastAsia="Times New Roman" w:cs="Times New Roman"/>
        <w:color w:val="000000" w:themeColor="text1"/>
        <w:sz w:val="24"/>
        <w:szCs w:val="24"/>
      </w:rPr>
    </w:pPr>
  </w:p>
  <w:p w:rsidR="00D739A7" w:rsidP="0511FAA6" w:rsidRDefault="00D739A7" w14:paraId="0EF87594" w14:textId="77777777">
    <w:pPr>
      <w:pStyle w:val="Header"/>
      <w:rPr>
        <w:rFonts w:ascii="Calibri" w:hAnsi="Calibri" w:eastAsia="Calibri" w:cs="Calibri"/>
        <w:color w:val="000000" w:themeColor="text1"/>
      </w:rPr>
    </w:pPr>
  </w:p>
</w:hdr>
</file>

<file path=word/intelligence2.xml><?xml version="1.0" encoding="utf-8"?>
<int2:intelligence xmlns:int2="http://schemas.microsoft.com/office/intelligence/2020/intelligence" xmlns:oel="http://schemas.microsoft.com/office/2019/extlst">
  <int2:observations>
    <int2:textHash int2:hashCode="V6Zo0FfF2XXsUx" int2:id="DtiOjbg5">
      <int2:state int2:value="Rejected" int2:type="spell"/>
    </int2:textHash>
    <int2:textHash int2:hashCode="68rJnQvhzZCaMT" int2:id="jPzx5nh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5BA6"/>
    <w:multiLevelType w:val="hybridMultilevel"/>
    <w:tmpl w:val="3C5016AA"/>
    <w:lvl w:ilvl="0" w:tplc="009A9380">
      <w:start w:val="1"/>
      <w:numFmt w:val="bullet"/>
      <w:lvlText w:val=""/>
      <w:lvlJc w:val="left"/>
      <w:pPr>
        <w:ind w:left="720" w:hanging="360"/>
      </w:pPr>
      <w:rPr>
        <w:rFonts w:hint="default" w:ascii="Symbol" w:hAnsi="Symbol"/>
      </w:rPr>
    </w:lvl>
    <w:lvl w:ilvl="1" w:tplc="43F8F82E">
      <w:start w:val="1"/>
      <w:numFmt w:val="bullet"/>
      <w:lvlText w:val="o"/>
      <w:lvlJc w:val="left"/>
      <w:pPr>
        <w:ind w:left="1440" w:hanging="360"/>
      </w:pPr>
      <w:rPr>
        <w:rFonts w:hint="default" w:ascii="Courier New" w:hAnsi="Courier New"/>
      </w:rPr>
    </w:lvl>
    <w:lvl w:ilvl="2" w:tplc="8CBEEBD6">
      <w:start w:val="1"/>
      <w:numFmt w:val="bullet"/>
      <w:lvlText w:val=""/>
      <w:lvlJc w:val="left"/>
      <w:pPr>
        <w:ind w:left="2160" w:hanging="360"/>
      </w:pPr>
      <w:rPr>
        <w:rFonts w:hint="default" w:ascii="Wingdings" w:hAnsi="Wingdings"/>
      </w:rPr>
    </w:lvl>
    <w:lvl w:ilvl="3" w:tplc="23E6ADD0">
      <w:start w:val="1"/>
      <w:numFmt w:val="bullet"/>
      <w:lvlText w:val=""/>
      <w:lvlJc w:val="left"/>
      <w:pPr>
        <w:ind w:left="2880" w:hanging="360"/>
      </w:pPr>
      <w:rPr>
        <w:rFonts w:hint="default" w:ascii="Symbol" w:hAnsi="Symbol"/>
      </w:rPr>
    </w:lvl>
    <w:lvl w:ilvl="4" w:tplc="7ABAB0AA">
      <w:start w:val="1"/>
      <w:numFmt w:val="bullet"/>
      <w:lvlText w:val="o"/>
      <w:lvlJc w:val="left"/>
      <w:pPr>
        <w:ind w:left="3600" w:hanging="360"/>
      </w:pPr>
      <w:rPr>
        <w:rFonts w:hint="default" w:ascii="Courier New" w:hAnsi="Courier New"/>
      </w:rPr>
    </w:lvl>
    <w:lvl w:ilvl="5" w:tplc="0DE2134A">
      <w:start w:val="1"/>
      <w:numFmt w:val="bullet"/>
      <w:lvlText w:val=""/>
      <w:lvlJc w:val="left"/>
      <w:pPr>
        <w:ind w:left="4320" w:hanging="360"/>
      </w:pPr>
      <w:rPr>
        <w:rFonts w:hint="default" w:ascii="Wingdings" w:hAnsi="Wingdings"/>
      </w:rPr>
    </w:lvl>
    <w:lvl w:ilvl="6" w:tplc="44CCBBEE">
      <w:start w:val="1"/>
      <w:numFmt w:val="bullet"/>
      <w:lvlText w:val=""/>
      <w:lvlJc w:val="left"/>
      <w:pPr>
        <w:ind w:left="5040" w:hanging="360"/>
      </w:pPr>
      <w:rPr>
        <w:rFonts w:hint="default" w:ascii="Symbol" w:hAnsi="Symbol"/>
      </w:rPr>
    </w:lvl>
    <w:lvl w:ilvl="7" w:tplc="1966DFA4">
      <w:start w:val="1"/>
      <w:numFmt w:val="bullet"/>
      <w:lvlText w:val="o"/>
      <w:lvlJc w:val="left"/>
      <w:pPr>
        <w:ind w:left="5760" w:hanging="360"/>
      </w:pPr>
      <w:rPr>
        <w:rFonts w:hint="default" w:ascii="Courier New" w:hAnsi="Courier New"/>
      </w:rPr>
    </w:lvl>
    <w:lvl w:ilvl="8" w:tplc="38B26A0A">
      <w:start w:val="1"/>
      <w:numFmt w:val="bullet"/>
      <w:lvlText w:val=""/>
      <w:lvlJc w:val="left"/>
      <w:pPr>
        <w:ind w:left="6480" w:hanging="360"/>
      </w:pPr>
      <w:rPr>
        <w:rFonts w:hint="default" w:ascii="Wingdings" w:hAnsi="Wingdings"/>
      </w:rPr>
    </w:lvl>
  </w:abstractNum>
  <w:abstractNum w:abstractNumId="1" w15:restartNumberingAfterBreak="0">
    <w:nsid w:val="074B46D8"/>
    <w:multiLevelType w:val="hybridMultilevel"/>
    <w:tmpl w:val="25A0F4AA"/>
    <w:lvl w:ilvl="0" w:tplc="BDF6FD5E">
      <w:start w:val="1"/>
      <w:numFmt w:val="bullet"/>
      <w:lvlText w:val=""/>
      <w:lvlJc w:val="left"/>
      <w:pPr>
        <w:ind w:left="720" w:hanging="360"/>
      </w:pPr>
      <w:rPr>
        <w:rFonts w:hint="default" w:ascii="Symbol" w:hAnsi="Symbol"/>
      </w:rPr>
    </w:lvl>
    <w:lvl w:ilvl="1" w:tplc="97DC800A">
      <w:start w:val="1"/>
      <w:numFmt w:val="bullet"/>
      <w:lvlText w:val="o"/>
      <w:lvlJc w:val="left"/>
      <w:pPr>
        <w:ind w:left="1440" w:hanging="360"/>
      </w:pPr>
      <w:rPr>
        <w:rFonts w:hint="default" w:ascii="Courier New" w:hAnsi="Courier New"/>
      </w:rPr>
    </w:lvl>
    <w:lvl w:ilvl="2" w:tplc="861A027E">
      <w:start w:val="1"/>
      <w:numFmt w:val="bullet"/>
      <w:lvlText w:val=""/>
      <w:lvlJc w:val="left"/>
      <w:pPr>
        <w:ind w:left="2160" w:hanging="360"/>
      </w:pPr>
      <w:rPr>
        <w:rFonts w:hint="default" w:ascii="Wingdings" w:hAnsi="Wingdings"/>
      </w:rPr>
    </w:lvl>
    <w:lvl w:ilvl="3" w:tplc="F0047E82">
      <w:start w:val="1"/>
      <w:numFmt w:val="bullet"/>
      <w:lvlText w:val=""/>
      <w:lvlJc w:val="left"/>
      <w:pPr>
        <w:ind w:left="2880" w:hanging="360"/>
      </w:pPr>
      <w:rPr>
        <w:rFonts w:hint="default" w:ascii="Symbol" w:hAnsi="Symbol"/>
      </w:rPr>
    </w:lvl>
    <w:lvl w:ilvl="4" w:tplc="C36EC444">
      <w:start w:val="1"/>
      <w:numFmt w:val="bullet"/>
      <w:lvlText w:val="o"/>
      <w:lvlJc w:val="left"/>
      <w:pPr>
        <w:ind w:left="3600" w:hanging="360"/>
      </w:pPr>
      <w:rPr>
        <w:rFonts w:hint="default" w:ascii="Courier New" w:hAnsi="Courier New"/>
      </w:rPr>
    </w:lvl>
    <w:lvl w:ilvl="5" w:tplc="F000D78A">
      <w:start w:val="1"/>
      <w:numFmt w:val="bullet"/>
      <w:lvlText w:val=""/>
      <w:lvlJc w:val="left"/>
      <w:pPr>
        <w:ind w:left="4320" w:hanging="360"/>
      </w:pPr>
      <w:rPr>
        <w:rFonts w:hint="default" w:ascii="Wingdings" w:hAnsi="Wingdings"/>
      </w:rPr>
    </w:lvl>
    <w:lvl w:ilvl="6" w:tplc="789A0CAC">
      <w:start w:val="1"/>
      <w:numFmt w:val="bullet"/>
      <w:lvlText w:val=""/>
      <w:lvlJc w:val="left"/>
      <w:pPr>
        <w:ind w:left="5040" w:hanging="360"/>
      </w:pPr>
      <w:rPr>
        <w:rFonts w:hint="default" w:ascii="Symbol" w:hAnsi="Symbol"/>
      </w:rPr>
    </w:lvl>
    <w:lvl w:ilvl="7" w:tplc="8414913C">
      <w:start w:val="1"/>
      <w:numFmt w:val="bullet"/>
      <w:lvlText w:val="o"/>
      <w:lvlJc w:val="left"/>
      <w:pPr>
        <w:ind w:left="5760" w:hanging="360"/>
      </w:pPr>
      <w:rPr>
        <w:rFonts w:hint="default" w:ascii="Courier New" w:hAnsi="Courier New"/>
      </w:rPr>
    </w:lvl>
    <w:lvl w:ilvl="8" w:tplc="30544D5C">
      <w:start w:val="1"/>
      <w:numFmt w:val="bullet"/>
      <w:lvlText w:val=""/>
      <w:lvlJc w:val="left"/>
      <w:pPr>
        <w:ind w:left="6480" w:hanging="360"/>
      </w:pPr>
      <w:rPr>
        <w:rFonts w:hint="default" w:ascii="Wingdings" w:hAnsi="Wingdings"/>
      </w:rPr>
    </w:lvl>
  </w:abstractNum>
  <w:abstractNum w:abstractNumId="2" w15:restartNumberingAfterBreak="0">
    <w:nsid w:val="0C27F4C3"/>
    <w:multiLevelType w:val="hybridMultilevel"/>
    <w:tmpl w:val="BBA05FA2"/>
    <w:lvl w:ilvl="0" w:tplc="3F54F902">
      <w:start w:val="1"/>
      <w:numFmt w:val="decimal"/>
      <w:lvlText w:val="%1."/>
      <w:lvlJc w:val="left"/>
      <w:pPr>
        <w:ind w:left="720" w:hanging="360"/>
      </w:pPr>
    </w:lvl>
    <w:lvl w:ilvl="1" w:tplc="794E4118">
      <w:start w:val="1"/>
      <w:numFmt w:val="lowerLetter"/>
      <w:lvlText w:val="%2."/>
      <w:lvlJc w:val="left"/>
      <w:pPr>
        <w:ind w:left="1440" w:hanging="360"/>
      </w:pPr>
    </w:lvl>
    <w:lvl w:ilvl="2" w:tplc="C47EA93C">
      <w:start w:val="1"/>
      <w:numFmt w:val="lowerRoman"/>
      <w:lvlText w:val="%3."/>
      <w:lvlJc w:val="right"/>
      <w:pPr>
        <w:ind w:left="2160" w:hanging="180"/>
      </w:pPr>
    </w:lvl>
    <w:lvl w:ilvl="3" w:tplc="FFC01DD2">
      <w:start w:val="1"/>
      <w:numFmt w:val="decimal"/>
      <w:lvlText w:val="%4."/>
      <w:lvlJc w:val="left"/>
      <w:pPr>
        <w:ind w:left="2880" w:hanging="360"/>
      </w:pPr>
    </w:lvl>
    <w:lvl w:ilvl="4" w:tplc="6980F1EE">
      <w:start w:val="1"/>
      <w:numFmt w:val="lowerLetter"/>
      <w:lvlText w:val="%5."/>
      <w:lvlJc w:val="left"/>
      <w:pPr>
        <w:ind w:left="3600" w:hanging="360"/>
      </w:pPr>
    </w:lvl>
    <w:lvl w:ilvl="5" w:tplc="B8E47A46">
      <w:start w:val="1"/>
      <w:numFmt w:val="lowerRoman"/>
      <w:lvlText w:val="%6."/>
      <w:lvlJc w:val="right"/>
      <w:pPr>
        <w:ind w:left="4320" w:hanging="180"/>
      </w:pPr>
    </w:lvl>
    <w:lvl w:ilvl="6" w:tplc="59A21E5E">
      <w:start w:val="1"/>
      <w:numFmt w:val="decimal"/>
      <w:lvlText w:val="%7."/>
      <w:lvlJc w:val="left"/>
      <w:pPr>
        <w:ind w:left="5040" w:hanging="360"/>
      </w:pPr>
    </w:lvl>
    <w:lvl w:ilvl="7" w:tplc="665C458E">
      <w:start w:val="1"/>
      <w:numFmt w:val="lowerLetter"/>
      <w:lvlText w:val="%8."/>
      <w:lvlJc w:val="left"/>
      <w:pPr>
        <w:ind w:left="5760" w:hanging="360"/>
      </w:pPr>
    </w:lvl>
    <w:lvl w:ilvl="8" w:tplc="CF046860">
      <w:start w:val="1"/>
      <w:numFmt w:val="lowerRoman"/>
      <w:lvlText w:val="%9."/>
      <w:lvlJc w:val="right"/>
      <w:pPr>
        <w:ind w:left="6480" w:hanging="180"/>
      </w:pPr>
    </w:lvl>
  </w:abstractNum>
  <w:abstractNum w:abstractNumId="3" w15:restartNumberingAfterBreak="0">
    <w:nsid w:val="2D7F8E9C"/>
    <w:multiLevelType w:val="hybridMultilevel"/>
    <w:tmpl w:val="408C8CA8"/>
    <w:lvl w:ilvl="0" w:tplc="ADA040C2">
      <w:start w:val="1"/>
      <w:numFmt w:val="bullet"/>
      <w:lvlText w:val=""/>
      <w:lvlJc w:val="left"/>
      <w:pPr>
        <w:ind w:left="720" w:hanging="360"/>
      </w:pPr>
      <w:rPr>
        <w:rFonts w:hint="default" w:ascii="Symbol" w:hAnsi="Symbol"/>
      </w:rPr>
    </w:lvl>
    <w:lvl w:ilvl="1" w:tplc="ADECD814">
      <w:start w:val="1"/>
      <w:numFmt w:val="bullet"/>
      <w:lvlText w:val="o"/>
      <w:lvlJc w:val="left"/>
      <w:pPr>
        <w:ind w:left="1440" w:hanging="360"/>
      </w:pPr>
      <w:rPr>
        <w:rFonts w:hint="default" w:ascii="Courier New" w:hAnsi="Courier New"/>
      </w:rPr>
    </w:lvl>
    <w:lvl w:ilvl="2" w:tplc="25A23482">
      <w:start w:val="1"/>
      <w:numFmt w:val="bullet"/>
      <w:lvlText w:val=""/>
      <w:lvlJc w:val="left"/>
      <w:pPr>
        <w:ind w:left="2160" w:hanging="360"/>
      </w:pPr>
      <w:rPr>
        <w:rFonts w:hint="default" w:ascii="Wingdings" w:hAnsi="Wingdings"/>
      </w:rPr>
    </w:lvl>
    <w:lvl w:ilvl="3" w:tplc="B638FE30">
      <w:start w:val="1"/>
      <w:numFmt w:val="bullet"/>
      <w:lvlText w:val=""/>
      <w:lvlJc w:val="left"/>
      <w:pPr>
        <w:ind w:left="2880" w:hanging="360"/>
      </w:pPr>
      <w:rPr>
        <w:rFonts w:hint="default" w:ascii="Symbol" w:hAnsi="Symbol"/>
      </w:rPr>
    </w:lvl>
    <w:lvl w:ilvl="4" w:tplc="32265872">
      <w:start w:val="1"/>
      <w:numFmt w:val="bullet"/>
      <w:lvlText w:val="o"/>
      <w:lvlJc w:val="left"/>
      <w:pPr>
        <w:ind w:left="3600" w:hanging="360"/>
      </w:pPr>
      <w:rPr>
        <w:rFonts w:hint="default" w:ascii="Courier New" w:hAnsi="Courier New"/>
      </w:rPr>
    </w:lvl>
    <w:lvl w:ilvl="5" w:tplc="8538419A">
      <w:start w:val="1"/>
      <w:numFmt w:val="bullet"/>
      <w:lvlText w:val=""/>
      <w:lvlJc w:val="left"/>
      <w:pPr>
        <w:ind w:left="4320" w:hanging="360"/>
      </w:pPr>
      <w:rPr>
        <w:rFonts w:hint="default" w:ascii="Wingdings" w:hAnsi="Wingdings"/>
      </w:rPr>
    </w:lvl>
    <w:lvl w:ilvl="6" w:tplc="1B24B056">
      <w:start w:val="1"/>
      <w:numFmt w:val="bullet"/>
      <w:lvlText w:val=""/>
      <w:lvlJc w:val="left"/>
      <w:pPr>
        <w:ind w:left="5040" w:hanging="360"/>
      </w:pPr>
      <w:rPr>
        <w:rFonts w:hint="default" w:ascii="Symbol" w:hAnsi="Symbol"/>
      </w:rPr>
    </w:lvl>
    <w:lvl w:ilvl="7" w:tplc="7A54758C">
      <w:start w:val="1"/>
      <w:numFmt w:val="bullet"/>
      <w:lvlText w:val="o"/>
      <w:lvlJc w:val="left"/>
      <w:pPr>
        <w:ind w:left="5760" w:hanging="360"/>
      </w:pPr>
      <w:rPr>
        <w:rFonts w:hint="default" w:ascii="Courier New" w:hAnsi="Courier New"/>
      </w:rPr>
    </w:lvl>
    <w:lvl w:ilvl="8" w:tplc="2048B1FE">
      <w:start w:val="1"/>
      <w:numFmt w:val="bullet"/>
      <w:lvlText w:val=""/>
      <w:lvlJc w:val="left"/>
      <w:pPr>
        <w:ind w:left="6480" w:hanging="360"/>
      </w:pPr>
      <w:rPr>
        <w:rFonts w:hint="default" w:ascii="Wingdings" w:hAnsi="Wingdings"/>
      </w:rPr>
    </w:lvl>
  </w:abstractNum>
  <w:abstractNum w:abstractNumId="4" w15:restartNumberingAfterBreak="0">
    <w:nsid w:val="42540B8F"/>
    <w:multiLevelType w:val="hybridMultilevel"/>
    <w:tmpl w:val="3C94510E"/>
    <w:lvl w:ilvl="0" w:tplc="01962294">
      <w:start w:val="1"/>
      <w:numFmt w:val="bullet"/>
      <w:lvlText w:val=""/>
      <w:lvlJc w:val="left"/>
      <w:pPr>
        <w:ind w:left="720" w:hanging="360"/>
      </w:pPr>
      <w:rPr>
        <w:rFonts w:hint="default" w:ascii="Symbol" w:hAnsi="Symbol"/>
      </w:rPr>
    </w:lvl>
    <w:lvl w:ilvl="1" w:tplc="0A887BDA">
      <w:start w:val="1"/>
      <w:numFmt w:val="bullet"/>
      <w:lvlText w:val="o"/>
      <w:lvlJc w:val="left"/>
      <w:pPr>
        <w:ind w:left="1440" w:hanging="360"/>
      </w:pPr>
      <w:rPr>
        <w:rFonts w:hint="default" w:ascii="Symbol" w:hAnsi="Symbol"/>
      </w:rPr>
    </w:lvl>
    <w:lvl w:ilvl="2" w:tplc="BE30DFE6">
      <w:start w:val="1"/>
      <w:numFmt w:val="bullet"/>
      <w:lvlText w:val=""/>
      <w:lvlJc w:val="left"/>
      <w:pPr>
        <w:ind w:left="2160" w:hanging="360"/>
      </w:pPr>
      <w:rPr>
        <w:rFonts w:hint="default" w:ascii="Wingdings" w:hAnsi="Wingdings"/>
      </w:rPr>
    </w:lvl>
    <w:lvl w:ilvl="3" w:tplc="FBF0D32E">
      <w:start w:val="1"/>
      <w:numFmt w:val="bullet"/>
      <w:lvlText w:val=""/>
      <w:lvlJc w:val="left"/>
      <w:pPr>
        <w:ind w:left="2880" w:hanging="360"/>
      </w:pPr>
      <w:rPr>
        <w:rFonts w:hint="default" w:ascii="Symbol" w:hAnsi="Symbol"/>
      </w:rPr>
    </w:lvl>
    <w:lvl w:ilvl="4" w:tplc="3E468F30">
      <w:start w:val="1"/>
      <w:numFmt w:val="bullet"/>
      <w:lvlText w:val="o"/>
      <w:lvlJc w:val="left"/>
      <w:pPr>
        <w:ind w:left="3600" w:hanging="360"/>
      </w:pPr>
      <w:rPr>
        <w:rFonts w:hint="default" w:ascii="Courier New" w:hAnsi="Courier New"/>
      </w:rPr>
    </w:lvl>
    <w:lvl w:ilvl="5" w:tplc="9C18C3BC">
      <w:start w:val="1"/>
      <w:numFmt w:val="bullet"/>
      <w:lvlText w:val=""/>
      <w:lvlJc w:val="left"/>
      <w:pPr>
        <w:ind w:left="4320" w:hanging="360"/>
      </w:pPr>
      <w:rPr>
        <w:rFonts w:hint="default" w:ascii="Wingdings" w:hAnsi="Wingdings"/>
      </w:rPr>
    </w:lvl>
    <w:lvl w:ilvl="6" w:tplc="7E20FF88">
      <w:start w:val="1"/>
      <w:numFmt w:val="bullet"/>
      <w:lvlText w:val=""/>
      <w:lvlJc w:val="left"/>
      <w:pPr>
        <w:ind w:left="5040" w:hanging="360"/>
      </w:pPr>
      <w:rPr>
        <w:rFonts w:hint="default" w:ascii="Symbol" w:hAnsi="Symbol"/>
      </w:rPr>
    </w:lvl>
    <w:lvl w:ilvl="7" w:tplc="9C723110">
      <w:start w:val="1"/>
      <w:numFmt w:val="bullet"/>
      <w:lvlText w:val="o"/>
      <w:lvlJc w:val="left"/>
      <w:pPr>
        <w:ind w:left="5760" w:hanging="360"/>
      </w:pPr>
      <w:rPr>
        <w:rFonts w:hint="default" w:ascii="Courier New" w:hAnsi="Courier New"/>
      </w:rPr>
    </w:lvl>
    <w:lvl w:ilvl="8" w:tplc="8E9A1FFE">
      <w:start w:val="1"/>
      <w:numFmt w:val="bullet"/>
      <w:lvlText w:val=""/>
      <w:lvlJc w:val="left"/>
      <w:pPr>
        <w:ind w:left="6480" w:hanging="360"/>
      </w:pPr>
      <w:rPr>
        <w:rFonts w:hint="default" w:ascii="Wingdings" w:hAnsi="Wingdings"/>
      </w:rPr>
    </w:lvl>
  </w:abstractNum>
  <w:abstractNum w:abstractNumId="5" w15:restartNumberingAfterBreak="0">
    <w:nsid w:val="7CA4B42E"/>
    <w:multiLevelType w:val="hybridMultilevel"/>
    <w:tmpl w:val="E110E098"/>
    <w:lvl w:ilvl="0" w:tplc="CE760468">
      <w:start w:val="1"/>
      <w:numFmt w:val="bullet"/>
      <w:lvlText w:val=""/>
      <w:lvlJc w:val="left"/>
      <w:pPr>
        <w:ind w:left="720" w:hanging="360"/>
      </w:pPr>
      <w:rPr>
        <w:rFonts w:hint="default" w:ascii="Symbol" w:hAnsi="Symbol"/>
      </w:rPr>
    </w:lvl>
    <w:lvl w:ilvl="1" w:tplc="80DAB17C">
      <w:start w:val="1"/>
      <w:numFmt w:val="bullet"/>
      <w:lvlText w:val="o"/>
      <w:lvlJc w:val="left"/>
      <w:pPr>
        <w:ind w:left="1440" w:hanging="360"/>
      </w:pPr>
      <w:rPr>
        <w:rFonts w:hint="default" w:ascii="Courier New" w:hAnsi="Courier New"/>
      </w:rPr>
    </w:lvl>
    <w:lvl w:ilvl="2" w:tplc="7C6817AA">
      <w:start w:val="1"/>
      <w:numFmt w:val="bullet"/>
      <w:lvlText w:val=""/>
      <w:lvlJc w:val="left"/>
      <w:pPr>
        <w:ind w:left="2160" w:hanging="360"/>
      </w:pPr>
      <w:rPr>
        <w:rFonts w:hint="default" w:ascii="Wingdings" w:hAnsi="Wingdings"/>
      </w:rPr>
    </w:lvl>
    <w:lvl w:ilvl="3" w:tplc="42DED0F8">
      <w:start w:val="1"/>
      <w:numFmt w:val="bullet"/>
      <w:lvlText w:val=""/>
      <w:lvlJc w:val="left"/>
      <w:pPr>
        <w:ind w:left="2880" w:hanging="360"/>
      </w:pPr>
      <w:rPr>
        <w:rFonts w:hint="default" w:ascii="Symbol" w:hAnsi="Symbol"/>
      </w:rPr>
    </w:lvl>
    <w:lvl w:ilvl="4" w:tplc="338ABDA2">
      <w:start w:val="1"/>
      <w:numFmt w:val="bullet"/>
      <w:lvlText w:val="o"/>
      <w:lvlJc w:val="left"/>
      <w:pPr>
        <w:ind w:left="3600" w:hanging="360"/>
      </w:pPr>
      <w:rPr>
        <w:rFonts w:hint="default" w:ascii="Courier New" w:hAnsi="Courier New"/>
      </w:rPr>
    </w:lvl>
    <w:lvl w:ilvl="5" w:tplc="939EB99A">
      <w:start w:val="1"/>
      <w:numFmt w:val="bullet"/>
      <w:lvlText w:val=""/>
      <w:lvlJc w:val="left"/>
      <w:pPr>
        <w:ind w:left="4320" w:hanging="360"/>
      </w:pPr>
      <w:rPr>
        <w:rFonts w:hint="default" w:ascii="Wingdings" w:hAnsi="Wingdings"/>
      </w:rPr>
    </w:lvl>
    <w:lvl w:ilvl="6" w:tplc="BDBEA0DA">
      <w:start w:val="1"/>
      <w:numFmt w:val="bullet"/>
      <w:lvlText w:val=""/>
      <w:lvlJc w:val="left"/>
      <w:pPr>
        <w:ind w:left="5040" w:hanging="360"/>
      </w:pPr>
      <w:rPr>
        <w:rFonts w:hint="default" w:ascii="Symbol" w:hAnsi="Symbol"/>
      </w:rPr>
    </w:lvl>
    <w:lvl w:ilvl="7" w:tplc="56C8CE84">
      <w:start w:val="1"/>
      <w:numFmt w:val="bullet"/>
      <w:lvlText w:val="o"/>
      <w:lvlJc w:val="left"/>
      <w:pPr>
        <w:ind w:left="5760" w:hanging="360"/>
      </w:pPr>
      <w:rPr>
        <w:rFonts w:hint="default" w:ascii="Courier New" w:hAnsi="Courier New"/>
      </w:rPr>
    </w:lvl>
    <w:lvl w:ilvl="8" w:tplc="4CB8BCB4">
      <w:start w:val="1"/>
      <w:numFmt w:val="bullet"/>
      <w:lvlText w:val=""/>
      <w:lvlJc w:val="left"/>
      <w:pPr>
        <w:ind w:left="6480" w:hanging="360"/>
      </w:pPr>
      <w:rPr>
        <w:rFonts w:hint="default" w:ascii="Wingdings" w:hAnsi="Wingdings"/>
      </w:rPr>
    </w:lvl>
  </w:abstractNum>
  <w:num w:numId="1" w16cid:durableId="915435082">
    <w:abstractNumId w:val="5"/>
  </w:num>
  <w:num w:numId="2" w16cid:durableId="940988262">
    <w:abstractNumId w:val="4"/>
  </w:num>
  <w:num w:numId="3" w16cid:durableId="1667242802">
    <w:abstractNumId w:val="0"/>
  </w:num>
  <w:num w:numId="4" w16cid:durableId="1952931122">
    <w:abstractNumId w:val="3"/>
  </w:num>
  <w:num w:numId="5" w16cid:durableId="987439779">
    <w:abstractNumId w:val="2"/>
  </w:num>
  <w:num w:numId="6" w16cid:durableId="1478956908">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ca Dedhia">
    <w15:presenceInfo w15:providerId="AD" w15:userId="S::mdedhia@pophealthlc.org::9fd6824e-5349-4c55-9263-f360554b0995"/>
  </w15:person>
  <w15:person w15:author="Rachel  Isaacson">
    <w15:presenceInfo w15:providerId="AD" w15:userId="S::risaacson@pophealthlc.org::78c58929-a74f-4ef1-8f58-4f3b7bfe3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36"/>
    <w:rsid w:val="00002515"/>
    <w:rsid w:val="00023A0A"/>
    <w:rsid w:val="00036E19"/>
    <w:rsid w:val="00042E36"/>
    <w:rsid w:val="00057BD3"/>
    <w:rsid w:val="0006354C"/>
    <w:rsid w:val="00064A15"/>
    <w:rsid w:val="00070D4C"/>
    <w:rsid w:val="00081BF8"/>
    <w:rsid w:val="000C46FD"/>
    <w:rsid w:val="00103DFA"/>
    <w:rsid w:val="001235D3"/>
    <w:rsid w:val="00123E32"/>
    <w:rsid w:val="001377B6"/>
    <w:rsid w:val="00186A27"/>
    <w:rsid w:val="00193C28"/>
    <w:rsid w:val="001EF462"/>
    <w:rsid w:val="0023761D"/>
    <w:rsid w:val="00241AC3"/>
    <w:rsid w:val="00244634"/>
    <w:rsid w:val="00263E9E"/>
    <w:rsid w:val="00265746"/>
    <w:rsid w:val="00286AC8"/>
    <w:rsid w:val="00290C90"/>
    <w:rsid w:val="00297778"/>
    <w:rsid w:val="002B28FC"/>
    <w:rsid w:val="002BC50A"/>
    <w:rsid w:val="002E2811"/>
    <w:rsid w:val="00310021"/>
    <w:rsid w:val="003112A9"/>
    <w:rsid w:val="0031366A"/>
    <w:rsid w:val="00315A56"/>
    <w:rsid w:val="003354B8"/>
    <w:rsid w:val="0035397F"/>
    <w:rsid w:val="00357538"/>
    <w:rsid w:val="00414232"/>
    <w:rsid w:val="00495138"/>
    <w:rsid w:val="004A2301"/>
    <w:rsid w:val="004C05A6"/>
    <w:rsid w:val="004D1F16"/>
    <w:rsid w:val="004D3487"/>
    <w:rsid w:val="00504285"/>
    <w:rsid w:val="0055725D"/>
    <w:rsid w:val="005B6293"/>
    <w:rsid w:val="005E2101"/>
    <w:rsid w:val="005F5956"/>
    <w:rsid w:val="00630087"/>
    <w:rsid w:val="006330E9"/>
    <w:rsid w:val="0067021C"/>
    <w:rsid w:val="00676F35"/>
    <w:rsid w:val="006A47AF"/>
    <w:rsid w:val="006F18BB"/>
    <w:rsid w:val="00752E9E"/>
    <w:rsid w:val="00761A2A"/>
    <w:rsid w:val="00767FB6"/>
    <w:rsid w:val="00772DFB"/>
    <w:rsid w:val="00780E12"/>
    <w:rsid w:val="0079391E"/>
    <w:rsid w:val="007B0E7D"/>
    <w:rsid w:val="007D65B0"/>
    <w:rsid w:val="007F30F1"/>
    <w:rsid w:val="00806A3C"/>
    <w:rsid w:val="008659D2"/>
    <w:rsid w:val="00875B6E"/>
    <w:rsid w:val="00887E7E"/>
    <w:rsid w:val="008A068E"/>
    <w:rsid w:val="008A4E2A"/>
    <w:rsid w:val="008D290F"/>
    <w:rsid w:val="00932ECF"/>
    <w:rsid w:val="00934892"/>
    <w:rsid w:val="009A161D"/>
    <w:rsid w:val="009E40DF"/>
    <w:rsid w:val="009E4E18"/>
    <w:rsid w:val="00A1282B"/>
    <w:rsid w:val="00A16A2B"/>
    <w:rsid w:val="00A4504E"/>
    <w:rsid w:val="00AC0C4F"/>
    <w:rsid w:val="00AD419A"/>
    <w:rsid w:val="00B0611C"/>
    <w:rsid w:val="00B4030A"/>
    <w:rsid w:val="00B519B2"/>
    <w:rsid w:val="00B67FA4"/>
    <w:rsid w:val="00B84AF9"/>
    <w:rsid w:val="00BE7E26"/>
    <w:rsid w:val="00C02DB1"/>
    <w:rsid w:val="00C308E2"/>
    <w:rsid w:val="00C330BA"/>
    <w:rsid w:val="00C64E55"/>
    <w:rsid w:val="00C66BB9"/>
    <w:rsid w:val="00C83C25"/>
    <w:rsid w:val="00CB013C"/>
    <w:rsid w:val="00CC6EB3"/>
    <w:rsid w:val="00CE051B"/>
    <w:rsid w:val="00D10AD2"/>
    <w:rsid w:val="00D27FA7"/>
    <w:rsid w:val="00D523C4"/>
    <w:rsid w:val="00D56A13"/>
    <w:rsid w:val="00D66A29"/>
    <w:rsid w:val="00D723FB"/>
    <w:rsid w:val="00D739A7"/>
    <w:rsid w:val="00D915CF"/>
    <w:rsid w:val="00DB7A72"/>
    <w:rsid w:val="00DE68EE"/>
    <w:rsid w:val="00DF7CF4"/>
    <w:rsid w:val="00E679E4"/>
    <w:rsid w:val="00E94F72"/>
    <w:rsid w:val="00EA18B8"/>
    <w:rsid w:val="00EB6D21"/>
    <w:rsid w:val="00ED1698"/>
    <w:rsid w:val="00EE0336"/>
    <w:rsid w:val="00F0776C"/>
    <w:rsid w:val="00F15558"/>
    <w:rsid w:val="00F31D3F"/>
    <w:rsid w:val="00F33C8B"/>
    <w:rsid w:val="00F51C0E"/>
    <w:rsid w:val="00F5F3D7"/>
    <w:rsid w:val="00FA212D"/>
    <w:rsid w:val="00FC6C95"/>
    <w:rsid w:val="00FD7CF6"/>
    <w:rsid w:val="01582949"/>
    <w:rsid w:val="016EEEF2"/>
    <w:rsid w:val="016F2996"/>
    <w:rsid w:val="01D06FBD"/>
    <w:rsid w:val="01D50C16"/>
    <w:rsid w:val="0219757D"/>
    <w:rsid w:val="024FA7A8"/>
    <w:rsid w:val="025072A7"/>
    <w:rsid w:val="0256E454"/>
    <w:rsid w:val="027066A1"/>
    <w:rsid w:val="027E1C44"/>
    <w:rsid w:val="0281EBAC"/>
    <w:rsid w:val="030A5B56"/>
    <w:rsid w:val="034808DE"/>
    <w:rsid w:val="034B1AE3"/>
    <w:rsid w:val="03535BBC"/>
    <w:rsid w:val="03572C52"/>
    <w:rsid w:val="0365876C"/>
    <w:rsid w:val="036AF065"/>
    <w:rsid w:val="037201BF"/>
    <w:rsid w:val="03721675"/>
    <w:rsid w:val="0378AE98"/>
    <w:rsid w:val="03BC4195"/>
    <w:rsid w:val="03EE0683"/>
    <w:rsid w:val="03FA24B8"/>
    <w:rsid w:val="04353B06"/>
    <w:rsid w:val="04599F3D"/>
    <w:rsid w:val="047B9D69"/>
    <w:rsid w:val="04A6A6C6"/>
    <w:rsid w:val="04D30287"/>
    <w:rsid w:val="04E4ABD6"/>
    <w:rsid w:val="04F7582C"/>
    <w:rsid w:val="050C9A33"/>
    <w:rsid w:val="0511FAA6"/>
    <w:rsid w:val="0535F4EC"/>
    <w:rsid w:val="053D84D6"/>
    <w:rsid w:val="0545EF4A"/>
    <w:rsid w:val="05630CE1"/>
    <w:rsid w:val="0563E9E1"/>
    <w:rsid w:val="05672637"/>
    <w:rsid w:val="056C7A90"/>
    <w:rsid w:val="05BD51AD"/>
    <w:rsid w:val="05C12C3D"/>
    <w:rsid w:val="05C5352B"/>
    <w:rsid w:val="05D6929F"/>
    <w:rsid w:val="05E8A67F"/>
    <w:rsid w:val="05F239FB"/>
    <w:rsid w:val="061CC79C"/>
    <w:rsid w:val="0624B56B"/>
    <w:rsid w:val="063B286F"/>
    <w:rsid w:val="064EEC12"/>
    <w:rsid w:val="068467FE"/>
    <w:rsid w:val="068AD0C7"/>
    <w:rsid w:val="06C1081E"/>
    <w:rsid w:val="06C47824"/>
    <w:rsid w:val="06FCA191"/>
    <w:rsid w:val="07254E42"/>
    <w:rsid w:val="07470517"/>
    <w:rsid w:val="07635B9A"/>
    <w:rsid w:val="078DA17D"/>
    <w:rsid w:val="07ABE922"/>
    <w:rsid w:val="07E54821"/>
    <w:rsid w:val="07EA80C5"/>
    <w:rsid w:val="07F9EBA7"/>
    <w:rsid w:val="07FFBEF4"/>
    <w:rsid w:val="081A8F32"/>
    <w:rsid w:val="08227F65"/>
    <w:rsid w:val="082FFD82"/>
    <w:rsid w:val="08352B27"/>
    <w:rsid w:val="08454F28"/>
    <w:rsid w:val="08539BA6"/>
    <w:rsid w:val="0859A21E"/>
    <w:rsid w:val="0859DA5E"/>
    <w:rsid w:val="085C4702"/>
    <w:rsid w:val="086286FF"/>
    <w:rsid w:val="086FA502"/>
    <w:rsid w:val="08817BAD"/>
    <w:rsid w:val="08959141"/>
    <w:rsid w:val="08BA7010"/>
    <w:rsid w:val="08BAC6D9"/>
    <w:rsid w:val="08E4FAC4"/>
    <w:rsid w:val="08ECAF83"/>
    <w:rsid w:val="091B141B"/>
    <w:rsid w:val="092560DF"/>
    <w:rsid w:val="093DDF21"/>
    <w:rsid w:val="0990B334"/>
    <w:rsid w:val="09ACF731"/>
    <w:rsid w:val="09C3294C"/>
    <w:rsid w:val="09C5F78D"/>
    <w:rsid w:val="0A07289D"/>
    <w:rsid w:val="0A20EBCE"/>
    <w:rsid w:val="0A973F95"/>
    <w:rsid w:val="0AE7C082"/>
    <w:rsid w:val="0AEE4214"/>
    <w:rsid w:val="0B2E8DF3"/>
    <w:rsid w:val="0B3F50BE"/>
    <w:rsid w:val="0B606F58"/>
    <w:rsid w:val="0B84FE31"/>
    <w:rsid w:val="0B8F7406"/>
    <w:rsid w:val="0BA32C03"/>
    <w:rsid w:val="0BA5769F"/>
    <w:rsid w:val="0BBAC7B3"/>
    <w:rsid w:val="0BD35C0A"/>
    <w:rsid w:val="0BD4A45A"/>
    <w:rsid w:val="0BFF0972"/>
    <w:rsid w:val="0C02DCBB"/>
    <w:rsid w:val="0C159300"/>
    <w:rsid w:val="0C28687A"/>
    <w:rsid w:val="0C28F82E"/>
    <w:rsid w:val="0C2C7B67"/>
    <w:rsid w:val="0C6DFD48"/>
    <w:rsid w:val="0CAE281A"/>
    <w:rsid w:val="0CD7935A"/>
    <w:rsid w:val="0D27E901"/>
    <w:rsid w:val="0D5488D6"/>
    <w:rsid w:val="0D64AE63"/>
    <w:rsid w:val="0D6A585C"/>
    <w:rsid w:val="0D83EB79"/>
    <w:rsid w:val="0D912259"/>
    <w:rsid w:val="0D978BDC"/>
    <w:rsid w:val="0DFC81BB"/>
    <w:rsid w:val="0E2256A4"/>
    <w:rsid w:val="0E263461"/>
    <w:rsid w:val="0E270FD7"/>
    <w:rsid w:val="0E68DF7A"/>
    <w:rsid w:val="0E884BE4"/>
    <w:rsid w:val="0E89E55B"/>
    <w:rsid w:val="0EA81363"/>
    <w:rsid w:val="0EC6A280"/>
    <w:rsid w:val="0EDD223F"/>
    <w:rsid w:val="0EE71DF3"/>
    <w:rsid w:val="0F0274E8"/>
    <w:rsid w:val="0F396131"/>
    <w:rsid w:val="0F3BD8AF"/>
    <w:rsid w:val="0F7E7858"/>
    <w:rsid w:val="0F850CD8"/>
    <w:rsid w:val="0FCB02A6"/>
    <w:rsid w:val="0FE26FF2"/>
    <w:rsid w:val="100DC66D"/>
    <w:rsid w:val="10477D2D"/>
    <w:rsid w:val="105E332D"/>
    <w:rsid w:val="1065EADF"/>
    <w:rsid w:val="10762801"/>
    <w:rsid w:val="10933CAD"/>
    <w:rsid w:val="10C211AA"/>
    <w:rsid w:val="110EEFC3"/>
    <w:rsid w:val="11261BEE"/>
    <w:rsid w:val="1134B87F"/>
    <w:rsid w:val="1177EB59"/>
    <w:rsid w:val="11B48220"/>
    <w:rsid w:val="1220FFA5"/>
    <w:rsid w:val="1224D55C"/>
    <w:rsid w:val="1261FA49"/>
    <w:rsid w:val="12670BEC"/>
    <w:rsid w:val="126B6A1E"/>
    <w:rsid w:val="1280827D"/>
    <w:rsid w:val="12C37B37"/>
    <w:rsid w:val="12E82849"/>
    <w:rsid w:val="12F4E360"/>
    <w:rsid w:val="131A0966"/>
    <w:rsid w:val="131E6C03"/>
    <w:rsid w:val="1329A384"/>
    <w:rsid w:val="1329D174"/>
    <w:rsid w:val="137257BE"/>
    <w:rsid w:val="137EB97F"/>
    <w:rsid w:val="13A1ECB9"/>
    <w:rsid w:val="13ACE333"/>
    <w:rsid w:val="13C90859"/>
    <w:rsid w:val="13D176B8"/>
    <w:rsid w:val="1402F49B"/>
    <w:rsid w:val="14155B41"/>
    <w:rsid w:val="1440FE3C"/>
    <w:rsid w:val="14682C62"/>
    <w:rsid w:val="146A1A70"/>
    <w:rsid w:val="147221FB"/>
    <w:rsid w:val="1473843A"/>
    <w:rsid w:val="1476804B"/>
    <w:rsid w:val="1480A61C"/>
    <w:rsid w:val="14936841"/>
    <w:rsid w:val="149AC7F0"/>
    <w:rsid w:val="149E9A9C"/>
    <w:rsid w:val="14A0263A"/>
    <w:rsid w:val="14AEF716"/>
    <w:rsid w:val="14DD860F"/>
    <w:rsid w:val="1502BF12"/>
    <w:rsid w:val="1589379F"/>
    <w:rsid w:val="15A7532D"/>
    <w:rsid w:val="15D8BEB4"/>
    <w:rsid w:val="15DC3D4A"/>
    <w:rsid w:val="15FF9404"/>
    <w:rsid w:val="162EFD36"/>
    <w:rsid w:val="16957DA3"/>
    <w:rsid w:val="16ADFC87"/>
    <w:rsid w:val="17241FE2"/>
    <w:rsid w:val="17269F39"/>
    <w:rsid w:val="1746283E"/>
    <w:rsid w:val="17492A61"/>
    <w:rsid w:val="17640B78"/>
    <w:rsid w:val="176449CF"/>
    <w:rsid w:val="176DD60F"/>
    <w:rsid w:val="1772BD25"/>
    <w:rsid w:val="17A71C21"/>
    <w:rsid w:val="17B08C22"/>
    <w:rsid w:val="17F305E5"/>
    <w:rsid w:val="17F74591"/>
    <w:rsid w:val="17FD3930"/>
    <w:rsid w:val="1800B6EE"/>
    <w:rsid w:val="188A54E8"/>
    <w:rsid w:val="18A9B597"/>
    <w:rsid w:val="18B11D15"/>
    <w:rsid w:val="18B2FFC4"/>
    <w:rsid w:val="18D0DEA5"/>
    <w:rsid w:val="18D6613F"/>
    <w:rsid w:val="18ED8BEE"/>
    <w:rsid w:val="18EF2C66"/>
    <w:rsid w:val="18FC704A"/>
    <w:rsid w:val="19110731"/>
    <w:rsid w:val="192BF047"/>
    <w:rsid w:val="1A698156"/>
    <w:rsid w:val="1A7197C3"/>
    <w:rsid w:val="1A75B074"/>
    <w:rsid w:val="1A88A983"/>
    <w:rsid w:val="1A8F5F68"/>
    <w:rsid w:val="1A99719A"/>
    <w:rsid w:val="1A9C3010"/>
    <w:rsid w:val="1AAC1618"/>
    <w:rsid w:val="1AD14D63"/>
    <w:rsid w:val="1AF3654E"/>
    <w:rsid w:val="1B15BC47"/>
    <w:rsid w:val="1B379962"/>
    <w:rsid w:val="1B87F812"/>
    <w:rsid w:val="1B8CABDF"/>
    <w:rsid w:val="1B9090CB"/>
    <w:rsid w:val="1B98F483"/>
    <w:rsid w:val="1BACA07E"/>
    <w:rsid w:val="1BC80BF7"/>
    <w:rsid w:val="1C3BBB11"/>
    <w:rsid w:val="1C6000CE"/>
    <w:rsid w:val="1C6B1A30"/>
    <w:rsid w:val="1C760AAD"/>
    <w:rsid w:val="1C7E867C"/>
    <w:rsid w:val="1C8B2202"/>
    <w:rsid w:val="1C98B5DF"/>
    <w:rsid w:val="1C9D98C9"/>
    <w:rsid w:val="1C9E0BC9"/>
    <w:rsid w:val="1CC0351C"/>
    <w:rsid w:val="1CE5EE27"/>
    <w:rsid w:val="1CEFC83E"/>
    <w:rsid w:val="1CFA5BAA"/>
    <w:rsid w:val="1D31DDAE"/>
    <w:rsid w:val="1D93EBF1"/>
    <w:rsid w:val="1DBD9F84"/>
    <w:rsid w:val="1E177730"/>
    <w:rsid w:val="1E1A5CD1"/>
    <w:rsid w:val="1E31F981"/>
    <w:rsid w:val="1EA7BBB0"/>
    <w:rsid w:val="1EB882B2"/>
    <w:rsid w:val="1EC22687"/>
    <w:rsid w:val="1EE387A7"/>
    <w:rsid w:val="1EF3EC53"/>
    <w:rsid w:val="1EFDE0DE"/>
    <w:rsid w:val="1F62E497"/>
    <w:rsid w:val="1F6593E7"/>
    <w:rsid w:val="1F7221E3"/>
    <w:rsid w:val="1F8ADD9A"/>
    <w:rsid w:val="1FA5EE36"/>
    <w:rsid w:val="1FCB94AA"/>
    <w:rsid w:val="1FDA6CDB"/>
    <w:rsid w:val="2014946B"/>
    <w:rsid w:val="201DE6C8"/>
    <w:rsid w:val="202CE709"/>
    <w:rsid w:val="20367AC8"/>
    <w:rsid w:val="2038E256"/>
    <w:rsid w:val="204425E6"/>
    <w:rsid w:val="205A936A"/>
    <w:rsid w:val="207DCF88"/>
    <w:rsid w:val="208C1C69"/>
    <w:rsid w:val="20B60405"/>
    <w:rsid w:val="20CC85C2"/>
    <w:rsid w:val="20EA1CAC"/>
    <w:rsid w:val="210EBED1"/>
    <w:rsid w:val="211EC1C4"/>
    <w:rsid w:val="2162A64E"/>
    <w:rsid w:val="216B97C2"/>
    <w:rsid w:val="2175617B"/>
    <w:rsid w:val="219A8846"/>
    <w:rsid w:val="21AF09A6"/>
    <w:rsid w:val="21C58CA9"/>
    <w:rsid w:val="21C8EEC2"/>
    <w:rsid w:val="2226DFA4"/>
    <w:rsid w:val="22661654"/>
    <w:rsid w:val="22998FA4"/>
    <w:rsid w:val="229D5A94"/>
    <w:rsid w:val="22B3410D"/>
    <w:rsid w:val="22E78D82"/>
    <w:rsid w:val="22F3E190"/>
    <w:rsid w:val="233991AC"/>
    <w:rsid w:val="2357F4F1"/>
    <w:rsid w:val="235A97DD"/>
    <w:rsid w:val="2373C058"/>
    <w:rsid w:val="237A9174"/>
    <w:rsid w:val="23CB4CBA"/>
    <w:rsid w:val="23CF4BD3"/>
    <w:rsid w:val="24230587"/>
    <w:rsid w:val="2433234D"/>
    <w:rsid w:val="2447A6A2"/>
    <w:rsid w:val="245680F0"/>
    <w:rsid w:val="24B0CFE7"/>
    <w:rsid w:val="24B744A8"/>
    <w:rsid w:val="24C0CAD8"/>
    <w:rsid w:val="24C7F648"/>
    <w:rsid w:val="24D1FBC4"/>
    <w:rsid w:val="24D239CD"/>
    <w:rsid w:val="24DFD877"/>
    <w:rsid w:val="24FF3348"/>
    <w:rsid w:val="250912DA"/>
    <w:rsid w:val="250A99E8"/>
    <w:rsid w:val="252D17FB"/>
    <w:rsid w:val="2533BCFF"/>
    <w:rsid w:val="253D1BFD"/>
    <w:rsid w:val="253E0115"/>
    <w:rsid w:val="255F5A38"/>
    <w:rsid w:val="25829387"/>
    <w:rsid w:val="25879958"/>
    <w:rsid w:val="25AB3A9D"/>
    <w:rsid w:val="25F547DE"/>
    <w:rsid w:val="260F1FEF"/>
    <w:rsid w:val="26229D31"/>
    <w:rsid w:val="2631C6EC"/>
    <w:rsid w:val="263F122B"/>
    <w:rsid w:val="264BFB32"/>
    <w:rsid w:val="265A2555"/>
    <w:rsid w:val="265BA4CD"/>
    <w:rsid w:val="266A317C"/>
    <w:rsid w:val="268F3E6E"/>
    <w:rsid w:val="269CDFA6"/>
    <w:rsid w:val="2704DB17"/>
    <w:rsid w:val="272313BF"/>
    <w:rsid w:val="2727AE7F"/>
    <w:rsid w:val="275372AF"/>
    <w:rsid w:val="2783F81E"/>
    <w:rsid w:val="27843CEA"/>
    <w:rsid w:val="27A77634"/>
    <w:rsid w:val="27B14290"/>
    <w:rsid w:val="27B78673"/>
    <w:rsid w:val="27CA7A10"/>
    <w:rsid w:val="27E7E06B"/>
    <w:rsid w:val="27F1AFCA"/>
    <w:rsid w:val="2802B779"/>
    <w:rsid w:val="281F1700"/>
    <w:rsid w:val="28279005"/>
    <w:rsid w:val="283B4364"/>
    <w:rsid w:val="288D36AE"/>
    <w:rsid w:val="288E93B5"/>
    <w:rsid w:val="28AEEB1F"/>
    <w:rsid w:val="28D2F1D3"/>
    <w:rsid w:val="28E2F789"/>
    <w:rsid w:val="28FCBF17"/>
    <w:rsid w:val="291FF195"/>
    <w:rsid w:val="294E0C12"/>
    <w:rsid w:val="2953C33E"/>
    <w:rsid w:val="29807C2D"/>
    <w:rsid w:val="2988FC28"/>
    <w:rsid w:val="298A961E"/>
    <w:rsid w:val="29919B09"/>
    <w:rsid w:val="299E31B4"/>
    <w:rsid w:val="29F90AF0"/>
    <w:rsid w:val="29FBCD9F"/>
    <w:rsid w:val="2A1010A9"/>
    <w:rsid w:val="2A29EF42"/>
    <w:rsid w:val="2A379D9C"/>
    <w:rsid w:val="2A8D8022"/>
    <w:rsid w:val="2A947C69"/>
    <w:rsid w:val="2AC2F60B"/>
    <w:rsid w:val="2AD74B91"/>
    <w:rsid w:val="2B01C38C"/>
    <w:rsid w:val="2B46FC0E"/>
    <w:rsid w:val="2B4957B2"/>
    <w:rsid w:val="2B4E2FB2"/>
    <w:rsid w:val="2B5A17AF"/>
    <w:rsid w:val="2B6E0389"/>
    <w:rsid w:val="2B94B53E"/>
    <w:rsid w:val="2B98FF28"/>
    <w:rsid w:val="2BA7596D"/>
    <w:rsid w:val="2BB5A37B"/>
    <w:rsid w:val="2BB67602"/>
    <w:rsid w:val="2BCFA586"/>
    <w:rsid w:val="2BF39BC5"/>
    <w:rsid w:val="2C1786A5"/>
    <w:rsid w:val="2C29EA27"/>
    <w:rsid w:val="2C64AEFA"/>
    <w:rsid w:val="2C651A03"/>
    <w:rsid w:val="2C6CB103"/>
    <w:rsid w:val="2C702AC1"/>
    <w:rsid w:val="2C77DDFB"/>
    <w:rsid w:val="2CA51808"/>
    <w:rsid w:val="2CCB106A"/>
    <w:rsid w:val="2CDB1193"/>
    <w:rsid w:val="2CE76114"/>
    <w:rsid w:val="2CE7F252"/>
    <w:rsid w:val="2D24748F"/>
    <w:rsid w:val="2D44F9FB"/>
    <w:rsid w:val="2D634DCD"/>
    <w:rsid w:val="2DBD9A35"/>
    <w:rsid w:val="2DC256E0"/>
    <w:rsid w:val="2DDD017F"/>
    <w:rsid w:val="2DE15F2A"/>
    <w:rsid w:val="2DF572E6"/>
    <w:rsid w:val="2DFB7C7A"/>
    <w:rsid w:val="2E09324B"/>
    <w:rsid w:val="2E0AF77A"/>
    <w:rsid w:val="2E224941"/>
    <w:rsid w:val="2E64A017"/>
    <w:rsid w:val="2E65FBAB"/>
    <w:rsid w:val="2E77CF07"/>
    <w:rsid w:val="2E873893"/>
    <w:rsid w:val="2E98FC2A"/>
    <w:rsid w:val="2E9FD657"/>
    <w:rsid w:val="2EAD42BA"/>
    <w:rsid w:val="2ED22C59"/>
    <w:rsid w:val="2ED2A229"/>
    <w:rsid w:val="2EDFA7E5"/>
    <w:rsid w:val="2EE1AA23"/>
    <w:rsid w:val="2F167918"/>
    <w:rsid w:val="2F1871CE"/>
    <w:rsid w:val="2F665031"/>
    <w:rsid w:val="2F713B48"/>
    <w:rsid w:val="2F866866"/>
    <w:rsid w:val="2FB2F993"/>
    <w:rsid w:val="2FBE31FD"/>
    <w:rsid w:val="2FCFE4A5"/>
    <w:rsid w:val="2FF60D09"/>
    <w:rsid w:val="30100E9B"/>
    <w:rsid w:val="3043B1B2"/>
    <w:rsid w:val="308A1CAD"/>
    <w:rsid w:val="3093116B"/>
    <w:rsid w:val="30962EDF"/>
    <w:rsid w:val="30B2F7B6"/>
    <w:rsid w:val="30D45FBD"/>
    <w:rsid w:val="3100407F"/>
    <w:rsid w:val="31313169"/>
    <w:rsid w:val="313EC1C6"/>
    <w:rsid w:val="31585A88"/>
    <w:rsid w:val="31589B59"/>
    <w:rsid w:val="3165FBB8"/>
    <w:rsid w:val="31C5FA0C"/>
    <w:rsid w:val="31D4E229"/>
    <w:rsid w:val="31D85144"/>
    <w:rsid w:val="31E7DF57"/>
    <w:rsid w:val="322DC3D1"/>
    <w:rsid w:val="3260307A"/>
    <w:rsid w:val="32952461"/>
    <w:rsid w:val="32B0CE1F"/>
    <w:rsid w:val="32B68F4F"/>
    <w:rsid w:val="32C9936C"/>
    <w:rsid w:val="32DE2D60"/>
    <w:rsid w:val="330E89FB"/>
    <w:rsid w:val="331FF474"/>
    <w:rsid w:val="33457B51"/>
    <w:rsid w:val="334708B2"/>
    <w:rsid w:val="3379A343"/>
    <w:rsid w:val="33976DFC"/>
    <w:rsid w:val="33B93026"/>
    <w:rsid w:val="33E784F6"/>
    <w:rsid w:val="33FB6A81"/>
    <w:rsid w:val="33FD5C3C"/>
    <w:rsid w:val="3403C48B"/>
    <w:rsid w:val="3426119E"/>
    <w:rsid w:val="3450CABB"/>
    <w:rsid w:val="34570C7E"/>
    <w:rsid w:val="346546F8"/>
    <w:rsid w:val="346C4FF0"/>
    <w:rsid w:val="3489B895"/>
    <w:rsid w:val="349652E8"/>
    <w:rsid w:val="34C75D80"/>
    <w:rsid w:val="3508C867"/>
    <w:rsid w:val="3511F80B"/>
    <w:rsid w:val="351E3557"/>
    <w:rsid w:val="351EF99A"/>
    <w:rsid w:val="3521D52C"/>
    <w:rsid w:val="357614AE"/>
    <w:rsid w:val="35A421D1"/>
    <w:rsid w:val="35A94B5A"/>
    <w:rsid w:val="35B52F67"/>
    <w:rsid w:val="35C65A5C"/>
    <w:rsid w:val="35D54DB3"/>
    <w:rsid w:val="35DF1FCB"/>
    <w:rsid w:val="35EA431A"/>
    <w:rsid w:val="35EF03D3"/>
    <w:rsid w:val="361B4130"/>
    <w:rsid w:val="362A6C38"/>
    <w:rsid w:val="36412434"/>
    <w:rsid w:val="3661CD5F"/>
    <w:rsid w:val="36675832"/>
    <w:rsid w:val="366804E2"/>
    <w:rsid w:val="36783075"/>
    <w:rsid w:val="368A2F08"/>
    <w:rsid w:val="36B13D08"/>
    <w:rsid w:val="36B6A7EF"/>
    <w:rsid w:val="370E64E4"/>
    <w:rsid w:val="3711A868"/>
    <w:rsid w:val="37270927"/>
    <w:rsid w:val="37320F7C"/>
    <w:rsid w:val="37385964"/>
    <w:rsid w:val="373A11AD"/>
    <w:rsid w:val="376548DA"/>
    <w:rsid w:val="37780DDE"/>
    <w:rsid w:val="377889F7"/>
    <w:rsid w:val="377E82DA"/>
    <w:rsid w:val="378F8201"/>
    <w:rsid w:val="37AC2FF6"/>
    <w:rsid w:val="382422C9"/>
    <w:rsid w:val="382A6F24"/>
    <w:rsid w:val="382F5A8E"/>
    <w:rsid w:val="3890206D"/>
    <w:rsid w:val="389F8B5D"/>
    <w:rsid w:val="38A25F94"/>
    <w:rsid w:val="38A63FC3"/>
    <w:rsid w:val="38CB1D1F"/>
    <w:rsid w:val="38F387BE"/>
    <w:rsid w:val="390B2020"/>
    <w:rsid w:val="3943818D"/>
    <w:rsid w:val="397CD45B"/>
    <w:rsid w:val="398C293F"/>
    <w:rsid w:val="39BD99FC"/>
    <w:rsid w:val="39C069F6"/>
    <w:rsid w:val="39EA3E21"/>
    <w:rsid w:val="39F44596"/>
    <w:rsid w:val="39F9A1C5"/>
    <w:rsid w:val="3A479078"/>
    <w:rsid w:val="3A6870A7"/>
    <w:rsid w:val="3A79CF52"/>
    <w:rsid w:val="3A9D9F7D"/>
    <w:rsid w:val="3AA10777"/>
    <w:rsid w:val="3ACF2DA5"/>
    <w:rsid w:val="3AD19E20"/>
    <w:rsid w:val="3AE239EC"/>
    <w:rsid w:val="3B30C00E"/>
    <w:rsid w:val="3B3414C5"/>
    <w:rsid w:val="3B375D11"/>
    <w:rsid w:val="3B972449"/>
    <w:rsid w:val="3B9F499D"/>
    <w:rsid w:val="3BBC5683"/>
    <w:rsid w:val="3BBDD839"/>
    <w:rsid w:val="3BC8A46E"/>
    <w:rsid w:val="3C135356"/>
    <w:rsid w:val="3C212BB7"/>
    <w:rsid w:val="3C29667F"/>
    <w:rsid w:val="3C3F9AB8"/>
    <w:rsid w:val="3C4CF675"/>
    <w:rsid w:val="3C4F332B"/>
    <w:rsid w:val="3C62087F"/>
    <w:rsid w:val="3CD6CC82"/>
    <w:rsid w:val="3D0FE737"/>
    <w:rsid w:val="3D4883AF"/>
    <w:rsid w:val="3D61B34E"/>
    <w:rsid w:val="3D9CC12E"/>
    <w:rsid w:val="3DA7E1BE"/>
    <w:rsid w:val="3DF88C17"/>
    <w:rsid w:val="3E2C6CA3"/>
    <w:rsid w:val="3E484813"/>
    <w:rsid w:val="3E79DF6E"/>
    <w:rsid w:val="3E88CF53"/>
    <w:rsid w:val="3EA55CAD"/>
    <w:rsid w:val="3EBCA24B"/>
    <w:rsid w:val="3EDEA1AB"/>
    <w:rsid w:val="3EEB07B2"/>
    <w:rsid w:val="3EEF750D"/>
    <w:rsid w:val="3EF422A1"/>
    <w:rsid w:val="3EFDF3D1"/>
    <w:rsid w:val="3F1D5784"/>
    <w:rsid w:val="3F1E2315"/>
    <w:rsid w:val="3F345A53"/>
    <w:rsid w:val="3F4A19BC"/>
    <w:rsid w:val="3F6643C0"/>
    <w:rsid w:val="3F6A4908"/>
    <w:rsid w:val="3F72AFCE"/>
    <w:rsid w:val="3FB2DF5F"/>
    <w:rsid w:val="3FB690C2"/>
    <w:rsid w:val="3FEA8E98"/>
    <w:rsid w:val="40118DF2"/>
    <w:rsid w:val="4025E481"/>
    <w:rsid w:val="40454F20"/>
    <w:rsid w:val="405CC8A9"/>
    <w:rsid w:val="40E3B426"/>
    <w:rsid w:val="40FD3D64"/>
    <w:rsid w:val="4132195D"/>
    <w:rsid w:val="41459035"/>
    <w:rsid w:val="417DEC13"/>
    <w:rsid w:val="41A9F319"/>
    <w:rsid w:val="41BB5548"/>
    <w:rsid w:val="41EEA828"/>
    <w:rsid w:val="41F8FE65"/>
    <w:rsid w:val="421B15A2"/>
    <w:rsid w:val="422DF42B"/>
    <w:rsid w:val="4258D8ED"/>
    <w:rsid w:val="427C0AEF"/>
    <w:rsid w:val="428D0F3B"/>
    <w:rsid w:val="429552FB"/>
    <w:rsid w:val="429DB84F"/>
    <w:rsid w:val="42A79D81"/>
    <w:rsid w:val="42ADAE6C"/>
    <w:rsid w:val="42AFEC44"/>
    <w:rsid w:val="42D39E8A"/>
    <w:rsid w:val="42DF74EB"/>
    <w:rsid w:val="4303ED68"/>
    <w:rsid w:val="432FCF76"/>
    <w:rsid w:val="4347B672"/>
    <w:rsid w:val="4374C0AE"/>
    <w:rsid w:val="43906ECB"/>
    <w:rsid w:val="439C45B6"/>
    <w:rsid w:val="439F36AE"/>
    <w:rsid w:val="43BA9117"/>
    <w:rsid w:val="43D4980C"/>
    <w:rsid w:val="43EAA1A5"/>
    <w:rsid w:val="43EBAB35"/>
    <w:rsid w:val="440B3CA4"/>
    <w:rsid w:val="440B8A46"/>
    <w:rsid w:val="4452FE8E"/>
    <w:rsid w:val="44817DD8"/>
    <w:rsid w:val="44A069A6"/>
    <w:rsid w:val="44B2002E"/>
    <w:rsid w:val="44E9F8B4"/>
    <w:rsid w:val="4506181C"/>
    <w:rsid w:val="45486FAB"/>
    <w:rsid w:val="454C18C7"/>
    <w:rsid w:val="456A1F20"/>
    <w:rsid w:val="457FD6C4"/>
    <w:rsid w:val="45808DA2"/>
    <w:rsid w:val="45AFB537"/>
    <w:rsid w:val="45BB11CE"/>
    <w:rsid w:val="45BF1110"/>
    <w:rsid w:val="45C0D0A4"/>
    <w:rsid w:val="45E8EA32"/>
    <w:rsid w:val="45F505EE"/>
    <w:rsid w:val="45FC0B02"/>
    <w:rsid w:val="46035BBD"/>
    <w:rsid w:val="4619249D"/>
    <w:rsid w:val="461CE9FF"/>
    <w:rsid w:val="465E0F80"/>
    <w:rsid w:val="469AD5D0"/>
    <w:rsid w:val="46AB3CC9"/>
    <w:rsid w:val="46C12564"/>
    <w:rsid w:val="46FB1ADB"/>
    <w:rsid w:val="46FD6AF3"/>
    <w:rsid w:val="47053E80"/>
    <w:rsid w:val="4721033E"/>
    <w:rsid w:val="472E6D9B"/>
    <w:rsid w:val="47642C98"/>
    <w:rsid w:val="47709E2D"/>
    <w:rsid w:val="47AEBBA2"/>
    <w:rsid w:val="47B136CA"/>
    <w:rsid w:val="47E23F6B"/>
    <w:rsid w:val="47ED3564"/>
    <w:rsid w:val="480C331F"/>
    <w:rsid w:val="48332C44"/>
    <w:rsid w:val="483D02D1"/>
    <w:rsid w:val="4841F7C0"/>
    <w:rsid w:val="485B1E68"/>
    <w:rsid w:val="485DC94D"/>
    <w:rsid w:val="4868A6CF"/>
    <w:rsid w:val="489AAF79"/>
    <w:rsid w:val="48BE3D4A"/>
    <w:rsid w:val="48C02A2B"/>
    <w:rsid w:val="48C55244"/>
    <w:rsid w:val="4910A24A"/>
    <w:rsid w:val="49386D23"/>
    <w:rsid w:val="49510EC1"/>
    <w:rsid w:val="496D7491"/>
    <w:rsid w:val="497B4526"/>
    <w:rsid w:val="498558D1"/>
    <w:rsid w:val="498F1531"/>
    <w:rsid w:val="49A921EE"/>
    <w:rsid w:val="49BCFBE5"/>
    <w:rsid w:val="49C571CC"/>
    <w:rsid w:val="49CE5A22"/>
    <w:rsid w:val="49E9AC58"/>
    <w:rsid w:val="49EB9E2B"/>
    <w:rsid w:val="49F10E95"/>
    <w:rsid w:val="4A1D4DD3"/>
    <w:rsid w:val="4A329505"/>
    <w:rsid w:val="4A37ACE6"/>
    <w:rsid w:val="4A6523FC"/>
    <w:rsid w:val="4A7E8B3D"/>
    <w:rsid w:val="4A8A66FE"/>
    <w:rsid w:val="4AD069AF"/>
    <w:rsid w:val="4AD734B5"/>
    <w:rsid w:val="4AE6FCBF"/>
    <w:rsid w:val="4AE77EB9"/>
    <w:rsid w:val="4AEDC6D8"/>
    <w:rsid w:val="4AEE1F19"/>
    <w:rsid w:val="4AFBD2C2"/>
    <w:rsid w:val="4AFDF84A"/>
    <w:rsid w:val="4B01C115"/>
    <w:rsid w:val="4B1F152C"/>
    <w:rsid w:val="4B22EEAD"/>
    <w:rsid w:val="4B4D32AB"/>
    <w:rsid w:val="4B540E1B"/>
    <w:rsid w:val="4BA13ED5"/>
    <w:rsid w:val="4BDB3347"/>
    <w:rsid w:val="4BF26E29"/>
    <w:rsid w:val="4C17DDA6"/>
    <w:rsid w:val="4C36B7C4"/>
    <w:rsid w:val="4C3C1ECC"/>
    <w:rsid w:val="4C5CA6B6"/>
    <w:rsid w:val="4C61F07D"/>
    <w:rsid w:val="4C62EE8E"/>
    <w:rsid w:val="4C8512C0"/>
    <w:rsid w:val="4C881AF1"/>
    <w:rsid w:val="4C88974A"/>
    <w:rsid w:val="4CB4172A"/>
    <w:rsid w:val="4CB642A9"/>
    <w:rsid w:val="4CCACE47"/>
    <w:rsid w:val="4CEB168F"/>
    <w:rsid w:val="4D078412"/>
    <w:rsid w:val="4D1D4334"/>
    <w:rsid w:val="4D3BA628"/>
    <w:rsid w:val="4D3DCA50"/>
    <w:rsid w:val="4D4A9FEF"/>
    <w:rsid w:val="4D6A2C4C"/>
    <w:rsid w:val="4DB40532"/>
    <w:rsid w:val="4DCF7D1D"/>
    <w:rsid w:val="4DF1B761"/>
    <w:rsid w:val="4DFFF8B2"/>
    <w:rsid w:val="4E074768"/>
    <w:rsid w:val="4E17B5F5"/>
    <w:rsid w:val="4E3F25C3"/>
    <w:rsid w:val="4E5BF147"/>
    <w:rsid w:val="4E9770E2"/>
    <w:rsid w:val="4EB2C834"/>
    <w:rsid w:val="4EB54FD6"/>
    <w:rsid w:val="4EC0501C"/>
    <w:rsid w:val="4EFCB780"/>
    <w:rsid w:val="4F0CC0CF"/>
    <w:rsid w:val="4F108333"/>
    <w:rsid w:val="4F3AA9A7"/>
    <w:rsid w:val="4F3CEEC1"/>
    <w:rsid w:val="4F40BBE5"/>
    <w:rsid w:val="4FA33583"/>
    <w:rsid w:val="4FC19E0A"/>
    <w:rsid w:val="4FC36362"/>
    <w:rsid w:val="4FD348B0"/>
    <w:rsid w:val="4FF86B73"/>
    <w:rsid w:val="50065C05"/>
    <w:rsid w:val="500B04B6"/>
    <w:rsid w:val="50194CEC"/>
    <w:rsid w:val="50BC582A"/>
    <w:rsid w:val="50CA10AE"/>
    <w:rsid w:val="50CAA3EF"/>
    <w:rsid w:val="50EEE095"/>
    <w:rsid w:val="50FFE7B4"/>
    <w:rsid w:val="51044613"/>
    <w:rsid w:val="510D312A"/>
    <w:rsid w:val="5122B100"/>
    <w:rsid w:val="51978E97"/>
    <w:rsid w:val="51DCBB41"/>
    <w:rsid w:val="51F55269"/>
    <w:rsid w:val="51FBA667"/>
    <w:rsid w:val="51FFE1F9"/>
    <w:rsid w:val="52209FE2"/>
    <w:rsid w:val="5227CA65"/>
    <w:rsid w:val="524597C1"/>
    <w:rsid w:val="524ED707"/>
    <w:rsid w:val="526833F7"/>
    <w:rsid w:val="52F03B77"/>
    <w:rsid w:val="5309D510"/>
    <w:rsid w:val="530C1393"/>
    <w:rsid w:val="5338867E"/>
    <w:rsid w:val="534614A0"/>
    <w:rsid w:val="53547FDC"/>
    <w:rsid w:val="535E482A"/>
    <w:rsid w:val="537893EA"/>
    <w:rsid w:val="539F52E7"/>
    <w:rsid w:val="53C854EF"/>
    <w:rsid w:val="53CB91DB"/>
    <w:rsid w:val="53FDD1A6"/>
    <w:rsid w:val="5412DE27"/>
    <w:rsid w:val="5427E8F1"/>
    <w:rsid w:val="545CDC7A"/>
    <w:rsid w:val="546E6623"/>
    <w:rsid w:val="547005F4"/>
    <w:rsid w:val="5485A571"/>
    <w:rsid w:val="54B9520A"/>
    <w:rsid w:val="54C6AFF9"/>
    <w:rsid w:val="54E0EE7A"/>
    <w:rsid w:val="54EDB7A6"/>
    <w:rsid w:val="54FCE250"/>
    <w:rsid w:val="55280A52"/>
    <w:rsid w:val="554CD537"/>
    <w:rsid w:val="55BBE593"/>
    <w:rsid w:val="55FEB48E"/>
    <w:rsid w:val="56237450"/>
    <w:rsid w:val="562498C1"/>
    <w:rsid w:val="56463EB6"/>
    <w:rsid w:val="56757F74"/>
    <w:rsid w:val="567A40BD"/>
    <w:rsid w:val="569900F0"/>
    <w:rsid w:val="569FF2D0"/>
    <w:rsid w:val="56B4E957"/>
    <w:rsid w:val="56D2E8A7"/>
    <w:rsid w:val="57016483"/>
    <w:rsid w:val="572759A9"/>
    <w:rsid w:val="574B7683"/>
    <w:rsid w:val="5776B503"/>
    <w:rsid w:val="579F0701"/>
    <w:rsid w:val="57BA6184"/>
    <w:rsid w:val="57BDA9FB"/>
    <w:rsid w:val="57C36E2D"/>
    <w:rsid w:val="57D895C3"/>
    <w:rsid w:val="582678BC"/>
    <w:rsid w:val="58267D13"/>
    <w:rsid w:val="5849CBC5"/>
    <w:rsid w:val="58884A43"/>
    <w:rsid w:val="5891B6FE"/>
    <w:rsid w:val="589DA82D"/>
    <w:rsid w:val="58F2F4DC"/>
    <w:rsid w:val="5937DADC"/>
    <w:rsid w:val="59390847"/>
    <w:rsid w:val="593B8145"/>
    <w:rsid w:val="5948D9D8"/>
    <w:rsid w:val="5951EFE4"/>
    <w:rsid w:val="595E1CFB"/>
    <w:rsid w:val="59634676"/>
    <w:rsid w:val="59674D72"/>
    <w:rsid w:val="59D5E632"/>
    <w:rsid w:val="59DDFCD4"/>
    <w:rsid w:val="59EE6586"/>
    <w:rsid w:val="59F8F176"/>
    <w:rsid w:val="59F9A64D"/>
    <w:rsid w:val="5A1EB0D3"/>
    <w:rsid w:val="5A4A0FB1"/>
    <w:rsid w:val="5A4D4C1D"/>
    <w:rsid w:val="5A76546F"/>
    <w:rsid w:val="5A7C0603"/>
    <w:rsid w:val="5ABF38BB"/>
    <w:rsid w:val="5ABF4548"/>
    <w:rsid w:val="5AD65423"/>
    <w:rsid w:val="5ADBBA5B"/>
    <w:rsid w:val="5AFF6FE6"/>
    <w:rsid w:val="5B08D713"/>
    <w:rsid w:val="5B1FCA90"/>
    <w:rsid w:val="5B63BEBB"/>
    <w:rsid w:val="5B65A24F"/>
    <w:rsid w:val="5B6FCEAB"/>
    <w:rsid w:val="5B761B61"/>
    <w:rsid w:val="5B863EF6"/>
    <w:rsid w:val="5B985A26"/>
    <w:rsid w:val="5BA5C73F"/>
    <w:rsid w:val="5BCD7CBB"/>
    <w:rsid w:val="5C00B6FE"/>
    <w:rsid w:val="5C41F0D2"/>
    <w:rsid w:val="5C457288"/>
    <w:rsid w:val="5C6460EC"/>
    <w:rsid w:val="5C84FA08"/>
    <w:rsid w:val="5C9227B0"/>
    <w:rsid w:val="5CD2B81C"/>
    <w:rsid w:val="5CD7B4FD"/>
    <w:rsid w:val="5CDD440B"/>
    <w:rsid w:val="5CDFE82D"/>
    <w:rsid w:val="5CE27792"/>
    <w:rsid w:val="5D0A479C"/>
    <w:rsid w:val="5D14B212"/>
    <w:rsid w:val="5D2B5AD5"/>
    <w:rsid w:val="5D349C7E"/>
    <w:rsid w:val="5D612389"/>
    <w:rsid w:val="5D6B7F1A"/>
    <w:rsid w:val="5D9418B2"/>
    <w:rsid w:val="5DA96DCC"/>
    <w:rsid w:val="5DB984F3"/>
    <w:rsid w:val="5DC0E470"/>
    <w:rsid w:val="5E153B3E"/>
    <w:rsid w:val="5E32C466"/>
    <w:rsid w:val="5E36000A"/>
    <w:rsid w:val="5E540A60"/>
    <w:rsid w:val="5E671815"/>
    <w:rsid w:val="5E995E6C"/>
    <w:rsid w:val="5EB0D802"/>
    <w:rsid w:val="5F498412"/>
    <w:rsid w:val="5F681003"/>
    <w:rsid w:val="5F8E4B92"/>
    <w:rsid w:val="5FA4FBA2"/>
    <w:rsid w:val="5FA7EA33"/>
    <w:rsid w:val="5FEAD15A"/>
    <w:rsid w:val="5FFBDA4D"/>
    <w:rsid w:val="604B84F0"/>
    <w:rsid w:val="605A3533"/>
    <w:rsid w:val="606563E5"/>
    <w:rsid w:val="6069C232"/>
    <w:rsid w:val="609738B7"/>
    <w:rsid w:val="6099306F"/>
    <w:rsid w:val="6099BB3A"/>
    <w:rsid w:val="60AD8556"/>
    <w:rsid w:val="60B20CB1"/>
    <w:rsid w:val="60BE4D7A"/>
    <w:rsid w:val="60DA0624"/>
    <w:rsid w:val="60DEE24A"/>
    <w:rsid w:val="60E4FDA7"/>
    <w:rsid w:val="60F9BC12"/>
    <w:rsid w:val="61434AF0"/>
    <w:rsid w:val="61475E8A"/>
    <w:rsid w:val="6149BBD0"/>
    <w:rsid w:val="6179B7BE"/>
    <w:rsid w:val="618D7F9E"/>
    <w:rsid w:val="61992852"/>
    <w:rsid w:val="61A3D53E"/>
    <w:rsid w:val="61ADC964"/>
    <w:rsid w:val="61E15A47"/>
    <w:rsid w:val="61E321C4"/>
    <w:rsid w:val="620D9755"/>
    <w:rsid w:val="62193879"/>
    <w:rsid w:val="621ED95F"/>
    <w:rsid w:val="62263C82"/>
    <w:rsid w:val="623AB306"/>
    <w:rsid w:val="624FC144"/>
    <w:rsid w:val="62623F41"/>
    <w:rsid w:val="6265BD28"/>
    <w:rsid w:val="6266552A"/>
    <w:rsid w:val="627E92F5"/>
    <w:rsid w:val="628FC71F"/>
    <w:rsid w:val="629D634F"/>
    <w:rsid w:val="62DBFBDF"/>
    <w:rsid w:val="62DCC008"/>
    <w:rsid w:val="6335A845"/>
    <w:rsid w:val="6336C789"/>
    <w:rsid w:val="63499A27"/>
    <w:rsid w:val="63580014"/>
    <w:rsid w:val="63597340"/>
    <w:rsid w:val="63711E79"/>
    <w:rsid w:val="63811C45"/>
    <w:rsid w:val="63A25658"/>
    <w:rsid w:val="63B06A06"/>
    <w:rsid w:val="63B69532"/>
    <w:rsid w:val="63BE02EC"/>
    <w:rsid w:val="63D69E7E"/>
    <w:rsid w:val="641F620E"/>
    <w:rsid w:val="641F666C"/>
    <w:rsid w:val="644993BE"/>
    <w:rsid w:val="645075FD"/>
    <w:rsid w:val="645DC374"/>
    <w:rsid w:val="646A2FD1"/>
    <w:rsid w:val="64840A5C"/>
    <w:rsid w:val="649CB5AA"/>
    <w:rsid w:val="64E05A35"/>
    <w:rsid w:val="64E35371"/>
    <w:rsid w:val="64FB821C"/>
    <w:rsid w:val="653FF5B9"/>
    <w:rsid w:val="65413832"/>
    <w:rsid w:val="65469D2C"/>
    <w:rsid w:val="656AAE72"/>
    <w:rsid w:val="658217B7"/>
    <w:rsid w:val="659BB581"/>
    <w:rsid w:val="65C89C68"/>
    <w:rsid w:val="65CD8237"/>
    <w:rsid w:val="65D08C78"/>
    <w:rsid w:val="65E45F85"/>
    <w:rsid w:val="660472C9"/>
    <w:rsid w:val="66061EB6"/>
    <w:rsid w:val="662FED10"/>
    <w:rsid w:val="664FCA87"/>
    <w:rsid w:val="6653C9F1"/>
    <w:rsid w:val="665E2C4A"/>
    <w:rsid w:val="6661243F"/>
    <w:rsid w:val="6662883C"/>
    <w:rsid w:val="666363FA"/>
    <w:rsid w:val="6689AF65"/>
    <w:rsid w:val="6698D4B8"/>
    <w:rsid w:val="669F3E02"/>
    <w:rsid w:val="66BF0710"/>
    <w:rsid w:val="66F1DA57"/>
    <w:rsid w:val="66FC275B"/>
    <w:rsid w:val="672DB655"/>
    <w:rsid w:val="67602562"/>
    <w:rsid w:val="676B9D70"/>
    <w:rsid w:val="67A7B5C3"/>
    <w:rsid w:val="67C2A88C"/>
    <w:rsid w:val="67FA5DCC"/>
    <w:rsid w:val="68163958"/>
    <w:rsid w:val="683F3CEC"/>
    <w:rsid w:val="68993F4F"/>
    <w:rsid w:val="68BD7708"/>
    <w:rsid w:val="68CC7996"/>
    <w:rsid w:val="69178E96"/>
    <w:rsid w:val="6922AEFB"/>
    <w:rsid w:val="692FC315"/>
    <w:rsid w:val="69670C56"/>
    <w:rsid w:val="69A6103F"/>
    <w:rsid w:val="69AA89CF"/>
    <w:rsid w:val="69B3CBB3"/>
    <w:rsid w:val="69BB5235"/>
    <w:rsid w:val="69F3B790"/>
    <w:rsid w:val="69FAE4EF"/>
    <w:rsid w:val="69FC8E89"/>
    <w:rsid w:val="6A273B5E"/>
    <w:rsid w:val="6A7180E4"/>
    <w:rsid w:val="6AAF1F4E"/>
    <w:rsid w:val="6AB11024"/>
    <w:rsid w:val="6AD0007E"/>
    <w:rsid w:val="6AE10BB9"/>
    <w:rsid w:val="6B0948C7"/>
    <w:rsid w:val="6B13E03C"/>
    <w:rsid w:val="6B4EF872"/>
    <w:rsid w:val="6B575102"/>
    <w:rsid w:val="6B78F39F"/>
    <w:rsid w:val="6B9510F5"/>
    <w:rsid w:val="6B9A0A31"/>
    <w:rsid w:val="6BB5A92C"/>
    <w:rsid w:val="6BC148C2"/>
    <w:rsid w:val="6BD2531B"/>
    <w:rsid w:val="6C3DFB8F"/>
    <w:rsid w:val="6C44CA5E"/>
    <w:rsid w:val="6C4E67A9"/>
    <w:rsid w:val="6C4FE400"/>
    <w:rsid w:val="6CA20471"/>
    <w:rsid w:val="6CB3D12F"/>
    <w:rsid w:val="6CCEADF2"/>
    <w:rsid w:val="6CD2BB60"/>
    <w:rsid w:val="6D24257E"/>
    <w:rsid w:val="6D25067D"/>
    <w:rsid w:val="6D369E0C"/>
    <w:rsid w:val="6D423D8A"/>
    <w:rsid w:val="6D48DCA8"/>
    <w:rsid w:val="6D5A3987"/>
    <w:rsid w:val="6D6D49ED"/>
    <w:rsid w:val="6D8976B8"/>
    <w:rsid w:val="6D92D265"/>
    <w:rsid w:val="6D9A2A40"/>
    <w:rsid w:val="6DC3AB9A"/>
    <w:rsid w:val="6DC68235"/>
    <w:rsid w:val="6DCBA748"/>
    <w:rsid w:val="6DDBB40D"/>
    <w:rsid w:val="6DF25E15"/>
    <w:rsid w:val="6E354BE2"/>
    <w:rsid w:val="6E3C8F17"/>
    <w:rsid w:val="6E550778"/>
    <w:rsid w:val="6E564D03"/>
    <w:rsid w:val="6E6A3CD1"/>
    <w:rsid w:val="6E7F5315"/>
    <w:rsid w:val="6EC802A0"/>
    <w:rsid w:val="6ED7623D"/>
    <w:rsid w:val="6F122F2A"/>
    <w:rsid w:val="6F1A3D73"/>
    <w:rsid w:val="6F1E5D98"/>
    <w:rsid w:val="6F239B32"/>
    <w:rsid w:val="6F4550F1"/>
    <w:rsid w:val="6F4969F0"/>
    <w:rsid w:val="6F64F6A7"/>
    <w:rsid w:val="6F890F27"/>
    <w:rsid w:val="6FD37949"/>
    <w:rsid w:val="6FDEE6BF"/>
    <w:rsid w:val="6FF66997"/>
    <w:rsid w:val="7019C864"/>
    <w:rsid w:val="70330926"/>
    <w:rsid w:val="703C186E"/>
    <w:rsid w:val="705886FF"/>
    <w:rsid w:val="708FC2E1"/>
    <w:rsid w:val="70B1A95F"/>
    <w:rsid w:val="70E73AE1"/>
    <w:rsid w:val="70EE8EFF"/>
    <w:rsid w:val="70F9F5E9"/>
    <w:rsid w:val="7159FAD0"/>
    <w:rsid w:val="7160196D"/>
    <w:rsid w:val="71685F99"/>
    <w:rsid w:val="719A1C95"/>
    <w:rsid w:val="71A25287"/>
    <w:rsid w:val="71AF5025"/>
    <w:rsid w:val="71C4F0B7"/>
    <w:rsid w:val="71CFABFC"/>
    <w:rsid w:val="71CFB10E"/>
    <w:rsid w:val="71F5194D"/>
    <w:rsid w:val="7234E85E"/>
    <w:rsid w:val="726C1DC7"/>
    <w:rsid w:val="727F1BB0"/>
    <w:rsid w:val="7284645B"/>
    <w:rsid w:val="73065F74"/>
    <w:rsid w:val="731F05B9"/>
    <w:rsid w:val="73241163"/>
    <w:rsid w:val="735E99AD"/>
    <w:rsid w:val="737A0ED6"/>
    <w:rsid w:val="73C83AE6"/>
    <w:rsid w:val="73D9F29B"/>
    <w:rsid w:val="73E0217A"/>
    <w:rsid w:val="73E467C0"/>
    <w:rsid w:val="74314422"/>
    <w:rsid w:val="74469368"/>
    <w:rsid w:val="744E10C6"/>
    <w:rsid w:val="745AD165"/>
    <w:rsid w:val="745BE4FE"/>
    <w:rsid w:val="74A13014"/>
    <w:rsid w:val="74A64466"/>
    <w:rsid w:val="74E5DAE3"/>
    <w:rsid w:val="750080CB"/>
    <w:rsid w:val="75043AA4"/>
    <w:rsid w:val="753044F0"/>
    <w:rsid w:val="753FCE81"/>
    <w:rsid w:val="754C0BB2"/>
    <w:rsid w:val="75A532A3"/>
    <w:rsid w:val="75BC59BF"/>
    <w:rsid w:val="75E73309"/>
    <w:rsid w:val="760B6123"/>
    <w:rsid w:val="760BE3A2"/>
    <w:rsid w:val="76106C10"/>
    <w:rsid w:val="7622AD12"/>
    <w:rsid w:val="767E5634"/>
    <w:rsid w:val="76932751"/>
    <w:rsid w:val="76965A64"/>
    <w:rsid w:val="76A10730"/>
    <w:rsid w:val="76A3CA28"/>
    <w:rsid w:val="76D703BF"/>
    <w:rsid w:val="76E3A82D"/>
    <w:rsid w:val="76F043CB"/>
    <w:rsid w:val="77107463"/>
    <w:rsid w:val="772E7004"/>
    <w:rsid w:val="7750A1DD"/>
    <w:rsid w:val="7773FA6E"/>
    <w:rsid w:val="7775A184"/>
    <w:rsid w:val="777CDCB5"/>
    <w:rsid w:val="77808EA5"/>
    <w:rsid w:val="77B394F2"/>
    <w:rsid w:val="77D76C2D"/>
    <w:rsid w:val="77FFACD4"/>
    <w:rsid w:val="782C2D5C"/>
    <w:rsid w:val="78388DEE"/>
    <w:rsid w:val="7847C70F"/>
    <w:rsid w:val="7848D0BF"/>
    <w:rsid w:val="786FFE29"/>
    <w:rsid w:val="787599B2"/>
    <w:rsid w:val="78AF0955"/>
    <w:rsid w:val="78B68C36"/>
    <w:rsid w:val="78D3703D"/>
    <w:rsid w:val="78FEECCE"/>
    <w:rsid w:val="790C9FD8"/>
    <w:rsid w:val="794B9E5A"/>
    <w:rsid w:val="795C3CB6"/>
    <w:rsid w:val="7976C1E2"/>
    <w:rsid w:val="79789767"/>
    <w:rsid w:val="79856C20"/>
    <w:rsid w:val="799303D6"/>
    <w:rsid w:val="7995F6E6"/>
    <w:rsid w:val="799CCD06"/>
    <w:rsid w:val="79A3BC1C"/>
    <w:rsid w:val="79B51E33"/>
    <w:rsid w:val="79BA5654"/>
    <w:rsid w:val="79CBC8A0"/>
    <w:rsid w:val="79CBF1A2"/>
    <w:rsid w:val="79D6F116"/>
    <w:rsid w:val="79E3047B"/>
    <w:rsid w:val="7A0F7608"/>
    <w:rsid w:val="7A149DA5"/>
    <w:rsid w:val="7A1FDF8C"/>
    <w:rsid w:val="7A5718CD"/>
    <w:rsid w:val="7A5EED20"/>
    <w:rsid w:val="7A624A90"/>
    <w:rsid w:val="7AAE9603"/>
    <w:rsid w:val="7AD92F64"/>
    <w:rsid w:val="7AFC866A"/>
    <w:rsid w:val="7B4ABAFA"/>
    <w:rsid w:val="7B80E665"/>
    <w:rsid w:val="7BB43073"/>
    <w:rsid w:val="7BF556D8"/>
    <w:rsid w:val="7C0F68C2"/>
    <w:rsid w:val="7C4013EB"/>
    <w:rsid w:val="7C8403E5"/>
    <w:rsid w:val="7C925C62"/>
    <w:rsid w:val="7C92FA60"/>
    <w:rsid w:val="7CC23C82"/>
    <w:rsid w:val="7CDB0E14"/>
    <w:rsid w:val="7CE1AC88"/>
    <w:rsid w:val="7CF4A708"/>
    <w:rsid w:val="7CF60689"/>
    <w:rsid w:val="7D02A0FD"/>
    <w:rsid w:val="7D80D9C7"/>
    <w:rsid w:val="7DD1B153"/>
    <w:rsid w:val="7DE1CC5A"/>
    <w:rsid w:val="7DE3BAA3"/>
    <w:rsid w:val="7DEEA935"/>
    <w:rsid w:val="7DFDC331"/>
    <w:rsid w:val="7E087DDF"/>
    <w:rsid w:val="7E10E945"/>
    <w:rsid w:val="7E171704"/>
    <w:rsid w:val="7E70F4A7"/>
    <w:rsid w:val="7EA30562"/>
    <w:rsid w:val="7EC2B1F0"/>
    <w:rsid w:val="7F1859D9"/>
    <w:rsid w:val="7F1E70A2"/>
    <w:rsid w:val="7F2591BF"/>
    <w:rsid w:val="7F2800ED"/>
    <w:rsid w:val="7F2A92F9"/>
    <w:rsid w:val="7F532E03"/>
    <w:rsid w:val="7F7316C3"/>
    <w:rsid w:val="7F91DB90"/>
    <w:rsid w:val="7F94F537"/>
    <w:rsid w:val="7FCF68B6"/>
    <w:rsid w:val="7FF8A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97FB8"/>
  <w15:chartTrackingRefBased/>
  <w15:docId w15:val="{97C8D2BD-F57C-44E6-9699-8000CC2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E033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33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33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E033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E033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E033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E033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E033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E033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E033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E033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E0336"/>
    <w:rPr>
      <w:rFonts w:eastAsiaTheme="majorEastAsia" w:cstheme="majorBidi"/>
      <w:color w:val="272727" w:themeColor="text1" w:themeTint="D8"/>
    </w:rPr>
  </w:style>
  <w:style w:type="paragraph" w:styleId="Title">
    <w:name w:val="Title"/>
    <w:basedOn w:val="Normal"/>
    <w:next w:val="Normal"/>
    <w:link w:val="TitleChar"/>
    <w:uiPriority w:val="10"/>
    <w:qFormat/>
    <w:rsid w:val="00EE033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E033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E033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E0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336"/>
    <w:pPr>
      <w:spacing w:before="160"/>
      <w:jc w:val="center"/>
    </w:pPr>
    <w:rPr>
      <w:i/>
      <w:iCs/>
      <w:color w:val="404040" w:themeColor="text1" w:themeTint="BF"/>
    </w:rPr>
  </w:style>
  <w:style w:type="character" w:styleId="QuoteChar" w:customStyle="1">
    <w:name w:val="Quote Char"/>
    <w:basedOn w:val="DefaultParagraphFont"/>
    <w:link w:val="Quote"/>
    <w:uiPriority w:val="29"/>
    <w:rsid w:val="00EE0336"/>
    <w:rPr>
      <w:i/>
      <w:iCs/>
      <w:color w:val="404040" w:themeColor="text1" w:themeTint="BF"/>
    </w:rPr>
  </w:style>
  <w:style w:type="paragraph" w:styleId="ListParagraph">
    <w:name w:val="List Paragraph"/>
    <w:basedOn w:val="Normal"/>
    <w:uiPriority w:val="34"/>
    <w:qFormat/>
    <w:rsid w:val="00EE0336"/>
    <w:pPr>
      <w:ind w:left="720"/>
      <w:contextualSpacing/>
    </w:pPr>
  </w:style>
  <w:style w:type="character" w:styleId="IntenseEmphasis">
    <w:name w:val="Intense Emphasis"/>
    <w:basedOn w:val="DefaultParagraphFont"/>
    <w:uiPriority w:val="21"/>
    <w:qFormat/>
    <w:rsid w:val="00EE0336"/>
    <w:rPr>
      <w:i/>
      <w:iCs/>
      <w:color w:val="0F4761" w:themeColor="accent1" w:themeShade="BF"/>
    </w:rPr>
  </w:style>
  <w:style w:type="paragraph" w:styleId="IntenseQuote">
    <w:name w:val="Intense Quote"/>
    <w:basedOn w:val="Normal"/>
    <w:next w:val="Normal"/>
    <w:link w:val="IntenseQuoteChar"/>
    <w:uiPriority w:val="30"/>
    <w:qFormat/>
    <w:rsid w:val="00EE033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E0336"/>
    <w:rPr>
      <w:i/>
      <w:iCs/>
      <w:color w:val="0F4761" w:themeColor="accent1" w:themeShade="BF"/>
    </w:rPr>
  </w:style>
  <w:style w:type="character" w:styleId="IntenseReference">
    <w:name w:val="Intense Reference"/>
    <w:basedOn w:val="DefaultParagraphFont"/>
    <w:uiPriority w:val="32"/>
    <w:qFormat/>
    <w:rsid w:val="00EE0336"/>
    <w:rPr>
      <w:b/>
      <w:bCs/>
      <w:smallCaps/>
      <w:color w:val="0F4761" w:themeColor="accent1" w:themeShade="BF"/>
      <w:spacing w:val="5"/>
    </w:rPr>
  </w:style>
  <w:style w:type="table" w:styleId="TableGrid">
    <w:name w:val="Table Grid"/>
    <w:basedOn w:val="TableNormal"/>
    <w:uiPriority w:val="39"/>
    <w:rsid w:val="00EE03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EE0336"/>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paragraph" w:styleId="Header">
    <w:name w:val="header"/>
    <w:basedOn w:val="Normal"/>
    <w:uiPriority w:val="99"/>
    <w:unhideWhenUsed/>
    <w:rsid w:val="0511FAA6"/>
    <w:pPr>
      <w:tabs>
        <w:tab w:val="center" w:pos="4680"/>
        <w:tab w:val="right" w:pos="9360"/>
      </w:tabs>
      <w:spacing w:after="0" w:line="240" w:lineRule="auto"/>
    </w:pPr>
  </w:style>
  <w:style w:type="paragraph" w:styleId="Footer">
    <w:name w:val="footer"/>
    <w:basedOn w:val="Normal"/>
    <w:uiPriority w:val="99"/>
    <w:unhideWhenUsed/>
    <w:rsid w:val="0511FAA6"/>
    <w:pPr>
      <w:tabs>
        <w:tab w:val="center" w:pos="4680"/>
        <w:tab w:val="right" w:pos="9360"/>
      </w:tabs>
      <w:spacing w:after="0" w:line="240" w:lineRule="auto"/>
    </w:pPr>
  </w:style>
  <w:style w:type="character" w:styleId="Hyperlink">
    <w:name w:val="Hyperlink"/>
    <w:basedOn w:val="DefaultParagraphFont"/>
    <w:uiPriority w:val="99"/>
    <w:unhideWhenUsed/>
    <w:rsid w:val="7A5EED20"/>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1235D3"/>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1235D3"/>
    <w:rPr>
      <w:b/>
      <w:bCs/>
    </w:rPr>
  </w:style>
  <w:style w:type="character" w:styleId="CommentSubjectChar" w:customStyle="1">
    <w:name w:val="Comment Subject Char"/>
    <w:basedOn w:val="CommentTextChar"/>
    <w:link w:val="CommentSubject"/>
    <w:uiPriority w:val="99"/>
    <w:semiHidden/>
    <w:rsid w:val="001235D3"/>
    <w:rPr>
      <w:b/>
      <w:bCs/>
      <w:sz w:val="20"/>
      <w:szCs w:val="20"/>
    </w:rPr>
  </w:style>
  <w:style w:type="paragraph" w:styleId="Revision">
    <w:name w:val="Revision"/>
    <w:hidden/>
    <w:uiPriority w:val="99"/>
    <w:semiHidden/>
    <w:rsid w:val="00875B6E"/>
    <w:pPr>
      <w:spacing w:after="0" w:line="240" w:lineRule="auto"/>
    </w:pPr>
  </w:style>
  <w:style w:type="character" w:styleId="PageNumber">
    <w:name w:val="page number"/>
    <w:basedOn w:val="DefaultParagraphFont"/>
    <w:uiPriority w:val="99"/>
    <w:semiHidden/>
    <w:unhideWhenUsed/>
    <w:rsid w:val="00B84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cfr.gov/current/title-42/chapter-I/subchapter-A/part-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dhcs.ca.gov/CalAIM/Documents/WIP-CLR-Implementation-Guidance.pdf" TargetMode="External"/><Relationship Id="rId23" Type="http://schemas.microsoft.com/office/2019/05/relationships/documenttasks" Target="documenttasks/documenttasks1.xml"/><Relationship Id="rId10" Type="http://schemas.openxmlformats.org/officeDocument/2006/relationships/hyperlink" Target="https://pophealth.healthcare.dev/"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A22737B-1729-4DBB-ADA8-C1C7393FAEF6}">
    <t:Anchor>
      <t:Comment id="382296060"/>
    </t:Anchor>
    <t:History>
      <t:Event id="{6B3D7DC2-99B8-46C5-8B30-01B45D127A87}" time="2025-03-09T23:14:55.392Z">
        <t:Attribution userId="S::tfisher@pophealthlc.org::d7e54ed1-b59a-4a66-83dc-6564182cbdaa" userProvider="AD" userName="Tammy Fisher"/>
        <t:Anchor>
          <t:Comment id="382296060"/>
        </t:Anchor>
        <t:Create/>
      </t:Event>
      <t:Event id="{67704FF6-78DA-4C41-A6ED-35C3198AEDCA}" time="2025-03-09T23:14:55.392Z">
        <t:Attribution userId="S::tfisher@pophealthlc.org::d7e54ed1-b59a-4a66-83dc-6564182cbdaa" userProvider="AD" userName="Tammy Fisher"/>
        <t:Anchor>
          <t:Comment id="382296060"/>
        </t:Anchor>
        <t:Assign userId="S::mdeane@pophealthlc.org::8a7713de-ff6f-4cc6-9682-88a1f8bb2af3" userProvider="AD" userName="Mary Deane"/>
      </t:Event>
      <t:Event id="{D92186A7-3F47-4AF1-8D7E-9028AA1EE7AC}" time="2025-03-09T23:14:55.392Z">
        <t:Attribution userId="S::tfisher@pophealthlc.org::d7e54ed1-b59a-4a66-83dc-6564182cbdaa" userProvider="AD" userName="Tammy Fisher"/>
        <t:Anchor>
          <t:Comment id="382296060"/>
        </t:Anchor>
        <t:SetTitle title="@Mary Deane I noticed in the deliverable template that the measure affected wasn't in the table. I am not sure whether you want to include it or not."/>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23c5b6-e95b-426e-b8c4-e080bfd3def7">
      <Terms xmlns="http://schemas.microsoft.com/office/infopath/2007/PartnerControls"/>
    </lcf76f155ced4ddcb4097134ff3c332f>
    <TaxCatchAll xmlns="cb4698ab-05d7-43cd-a1ea-68617d22cd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A5AE673C57148B89A6E4541740596" ma:contentTypeVersion="16" ma:contentTypeDescription="Create a new document." ma:contentTypeScope="" ma:versionID="7fca1cd8f8ea0ea8e38be61aeca6b5f1">
  <xsd:schema xmlns:xsd="http://www.w3.org/2001/XMLSchema" xmlns:xs="http://www.w3.org/2001/XMLSchema" xmlns:p="http://schemas.microsoft.com/office/2006/metadata/properties" xmlns:ns2="cb4698ab-05d7-43cd-a1ea-68617d22cd0a" xmlns:ns3="4823c5b6-e95b-426e-b8c4-e080bfd3def7" targetNamespace="http://schemas.microsoft.com/office/2006/metadata/properties" ma:root="true" ma:fieldsID="e51644dff22d9705a90dbea76b6576c1" ns2:_="" ns3:_="">
    <xsd:import namespace="cb4698ab-05d7-43cd-a1ea-68617d22cd0a"/>
    <xsd:import namespace="4823c5b6-e95b-426e-b8c4-e080bfd3de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698ab-05d7-43cd-a1ea-68617d22cd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ddc982-bc91-4485-acfd-23171be358e0}" ma:internalName="TaxCatchAll" ma:showField="CatchAllData" ma:web="cb4698ab-05d7-43cd-a1ea-68617d22cd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23c5b6-e95b-426e-b8c4-e080bfd3de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513810-8253-45b2-b3c1-6fab3434a6e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93E71-C5E6-426F-A2CC-8E96C9E3CEC4}">
  <ds:schemaRefs>
    <ds:schemaRef ds:uri="http://schemas.microsoft.com/sharepoint/v3/contenttype/forms"/>
  </ds:schemaRefs>
</ds:datastoreItem>
</file>

<file path=customXml/itemProps2.xml><?xml version="1.0" encoding="utf-8"?>
<ds:datastoreItem xmlns:ds="http://schemas.openxmlformats.org/officeDocument/2006/customXml" ds:itemID="{7886B60C-F2A3-45E6-9C38-208868637763}">
  <ds:schemaRefs>
    <ds:schemaRef ds:uri="http://schemas.microsoft.com/office/2006/metadata/properties"/>
    <ds:schemaRef ds:uri="http://schemas.microsoft.com/office/infopath/2007/PartnerControls"/>
    <ds:schemaRef ds:uri="4823c5b6-e95b-426e-b8c4-e080bfd3def7"/>
    <ds:schemaRef ds:uri="cb4698ab-05d7-43cd-a1ea-68617d22cd0a"/>
  </ds:schemaRefs>
</ds:datastoreItem>
</file>

<file path=customXml/itemProps3.xml><?xml version="1.0" encoding="utf-8"?>
<ds:datastoreItem xmlns:ds="http://schemas.openxmlformats.org/officeDocument/2006/customXml" ds:itemID="{98BD4AF3-7401-4D07-ACE8-6C0854BE7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698ab-05d7-43cd-a1ea-68617d22cd0a"/>
    <ds:schemaRef ds:uri="4823c5b6-e95b-426e-b8c4-e080bfd3d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Deering</dc:creator>
  <cp:keywords/>
  <dc:description/>
  <cp:lastModifiedBy>Mary Deane</cp:lastModifiedBy>
  <cp:revision>45</cp:revision>
  <dcterms:created xsi:type="dcterms:W3CDTF">2025-07-18T01:43:00Z</dcterms:created>
  <dcterms:modified xsi:type="dcterms:W3CDTF">2026-02-17T04:59:33Z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0x0101007FFA5AE673C57148B89A6E4541740596</vt:lpwstr>
  </property>
  <property fmtid="{D5CDD505-2E9C-101B-9397-08002B2CF9AE}" pid="3" name="MediaServiceImageTags">
    <vt:lpwstr/>
  </property>
  <property fmtid="{D5CDD505-2E9C-101B-9397-08002B2CF9AE}" pid="4" name="docLang">
    <vt:lpwstr>en</vt:lpwstr>
  </property>
</Properties>
</file>