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1827" w:rsidR="19830BE0" w:rsidP="09068C5B" w:rsidRDefault="006F2B51" w14:paraId="29ABFEB8" w14:textId="1B694B34">
      <w:pPr>
        <w:spacing w:after="0" w:line="240" w:lineRule="auto"/>
        <w:outlineLvl w:val="0"/>
        <w:rPr>
          <w:rFonts w:eastAsia="Times New Roman" w:cs="Calibri"/>
          <w:b/>
          <w:bCs/>
          <w:color w:val="366091"/>
          <w:sz w:val="32"/>
          <w:szCs w:val="32"/>
        </w:rPr>
      </w:pPr>
      <w:r w:rsidRPr="09068C5B">
        <w:rPr>
          <w:rFonts w:eastAsia="Times New Roman" w:cs="Calibri"/>
          <w:b/>
          <w:bCs/>
          <w:color w:val="366091"/>
          <w:sz w:val="32"/>
          <w:szCs w:val="32"/>
        </w:rPr>
        <w:t>Value Based Payment (VBP) Milestone Template</w:t>
      </w:r>
    </w:p>
    <w:p w:rsidRPr="00A41827" w:rsidR="002C19D2" w:rsidP="79409682" w:rsidRDefault="002C19D2" w14:paraId="7CEA8D77" w14:textId="2A6BCEB2">
      <w:pPr>
        <w:spacing w:after="0" w:line="240" w:lineRule="auto"/>
        <w:outlineLvl w:val="2"/>
        <w:rPr>
          <w:rFonts w:eastAsia="Times New Roman" w:cs="Calibri"/>
          <w:b/>
          <w:bCs/>
          <w:color w:val="4F81BD"/>
          <w:kern w:val="0"/>
          <w14:ligatures w14:val="none"/>
        </w:rPr>
      </w:pPr>
      <w:r w:rsidRPr="00A41827" w:rsidR="0C747A28">
        <w:rPr>
          <w:rFonts w:eastAsia="Times New Roman" w:cs="Calibri"/>
          <w:b w:val="1"/>
          <w:bCs w:val="1"/>
          <w:color w:val="4F81BD"/>
          <w:kern w:val="0"/>
          <w14:ligatures w14:val="none"/>
        </w:rPr>
        <w:t>Milestone Description</w:t>
      </w:r>
    </w:p>
    <w:p w:rsidR="24F73A56" w:rsidP="24F73A56" w:rsidRDefault="24F73A56" w14:paraId="6A2F24B5" w14:textId="70F074EB">
      <w:pPr>
        <w:spacing w:after="0" w:line="240" w:lineRule="auto"/>
      </w:pPr>
    </w:p>
    <w:p w:rsidRPr="00A41827" w:rsidR="79409682" w:rsidP="1F483B2F" w:rsidRDefault="004F1C4B" w14:paraId="45B51840" w14:textId="02D3B5B3">
      <w:pPr>
        <w:spacing w:after="0" w:line="240" w:lineRule="auto"/>
      </w:pPr>
      <w:r w:rsidRPr="004F1C4B">
        <w:t xml:space="preserve">Conduct an assessment of value-based payment (VBP) readiness, identify gaps, and develop an action plan to improve readiness for VBP. The </w:t>
      </w:r>
      <w:proofErr w:type="spellStart"/>
      <w:r w:rsidRPr="004F1C4B">
        <w:t>VaPCAT</w:t>
      </w:r>
      <w:proofErr w:type="spellEnd"/>
      <w:r w:rsidRPr="004F1C4B">
        <w:t xml:space="preserve"> is the first component of the EPT VBP milestone; EPT practices will also submit the VBP deliverables template which includes </w:t>
      </w:r>
      <w:r w:rsidR="00BA4E87">
        <w:t xml:space="preserve">a </w:t>
      </w:r>
      <w:r w:rsidRPr="004F1C4B">
        <w:t>gap analysis and action plan. The VBP milestone can be submitted in May or November 2026</w:t>
      </w:r>
      <w:r w:rsidR="2A9AF138">
        <w:t xml:space="preserve"> via the </w:t>
      </w:r>
      <w:r w:rsidR="5BF62A6F">
        <w:t xml:space="preserve">EPT </w:t>
      </w:r>
      <w:r w:rsidR="2A9AF138">
        <w:t>Deliverable Portal</w:t>
      </w:r>
      <w:r>
        <w:t xml:space="preserve">.  </w:t>
      </w:r>
    </w:p>
    <w:p w:rsidRPr="00A41827" w:rsidR="006C4D03" w:rsidP="1F483B2F" w:rsidRDefault="006C4D03" w14:paraId="459F8827" w14:textId="77777777">
      <w:pPr>
        <w:spacing w:after="0" w:line="240" w:lineRule="auto"/>
      </w:pPr>
    </w:p>
    <w:p w:rsidR="00ED2931" w:rsidP="080DEDEE" w:rsidRDefault="00735C4D" w14:paraId="2E2E33FE" w14:textId="700FECAB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6BB71450">
        <w:rPr>
          <w:rFonts w:eastAsia="Times New Roman" w:cs="Times New Roman"/>
          <w:color w:val="000000" w:themeColor="text1"/>
        </w:rPr>
        <w:t xml:space="preserve">The EPT VBP milestone is </w:t>
      </w:r>
      <w:r w:rsidRPr="6BB71450" w:rsidR="00ED2931">
        <w:rPr>
          <w:rFonts w:eastAsia="Times New Roman" w:cs="Times New Roman"/>
          <w:color w:val="000000" w:themeColor="text1"/>
        </w:rPr>
        <w:t>intended to support</w:t>
      </w:r>
      <w:r w:rsidR="00A7149A">
        <w:rPr>
          <w:rFonts w:eastAsia="Times New Roman" w:cs="Times New Roman"/>
          <w:color w:val="000000" w:themeColor="text1"/>
        </w:rPr>
        <w:t xml:space="preserve"> EPT</w:t>
      </w:r>
      <w:r w:rsidRPr="6BB71450" w:rsidR="00ED2931">
        <w:rPr>
          <w:rFonts w:eastAsia="Times New Roman" w:cs="Times New Roman"/>
          <w:color w:val="000000" w:themeColor="text1"/>
        </w:rPr>
        <w:t xml:space="preserve"> practices to </w:t>
      </w:r>
      <w:r w:rsidRPr="6BB71450" w:rsidR="005952F9">
        <w:rPr>
          <w:rFonts w:eastAsia="Times New Roman" w:cs="Times New Roman"/>
          <w:color w:val="000000" w:themeColor="text1"/>
        </w:rPr>
        <w:t xml:space="preserve">increase </w:t>
      </w:r>
      <w:r w:rsidRPr="6BB71450" w:rsidR="1AC1A413">
        <w:rPr>
          <w:rFonts w:eastAsia="Times New Roman" w:cs="Times New Roman"/>
          <w:color w:val="000000" w:themeColor="text1"/>
        </w:rPr>
        <w:t xml:space="preserve">their </w:t>
      </w:r>
      <w:r w:rsidRPr="6BB71450" w:rsidR="005952F9">
        <w:rPr>
          <w:rFonts w:eastAsia="Times New Roman" w:cs="Times New Roman"/>
          <w:color w:val="000000" w:themeColor="text1"/>
        </w:rPr>
        <w:t>readiness to enter into VBP contract</w:t>
      </w:r>
      <w:r w:rsidRPr="6BB71450" w:rsidR="418F99EA">
        <w:rPr>
          <w:rFonts w:eastAsia="Times New Roman" w:cs="Times New Roman"/>
          <w:color w:val="000000" w:themeColor="text1"/>
        </w:rPr>
        <w:t>(s)</w:t>
      </w:r>
      <w:r w:rsidRPr="6BB71450" w:rsidR="005952F9">
        <w:rPr>
          <w:rFonts w:eastAsia="Times New Roman" w:cs="Times New Roman"/>
          <w:color w:val="000000" w:themeColor="text1"/>
        </w:rPr>
        <w:t xml:space="preserve">. </w:t>
      </w:r>
      <w:r w:rsidRPr="6BB71450" w:rsidR="003D288D">
        <w:rPr>
          <w:rFonts w:eastAsia="Times New Roman" w:cs="Times New Roman"/>
          <w:color w:val="000000" w:themeColor="text1"/>
        </w:rPr>
        <w:t xml:space="preserve">This milestone is comprised of </w:t>
      </w:r>
      <w:r w:rsidRPr="6BB71450" w:rsidR="00D30713">
        <w:rPr>
          <w:rFonts w:eastAsia="Times New Roman" w:cs="Times New Roman"/>
          <w:color w:val="000000" w:themeColor="text1"/>
        </w:rPr>
        <w:t>the following</w:t>
      </w:r>
      <w:r w:rsidRPr="6BB71450" w:rsidR="003D288D">
        <w:rPr>
          <w:rFonts w:eastAsia="Times New Roman" w:cs="Times New Roman"/>
          <w:color w:val="000000" w:themeColor="text1"/>
        </w:rPr>
        <w:t xml:space="preserve"> components:</w:t>
      </w:r>
    </w:p>
    <w:p w:rsidR="00C50C8E" w:rsidP="000E14D7" w:rsidRDefault="007B041D" w14:paraId="7B2FBDD4" w14:textId="14A9815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6BB71450">
        <w:rPr>
          <w:rFonts w:eastAsia="Times New Roman" w:cs="Times New Roman"/>
          <w:b/>
          <w:bCs/>
          <w:color w:val="000000" w:themeColor="text1"/>
        </w:rPr>
        <w:t>Value-Based Pay Capability Assessment Tool (</w:t>
      </w:r>
      <w:proofErr w:type="spellStart"/>
      <w:r w:rsidRPr="6BB71450">
        <w:rPr>
          <w:rFonts w:eastAsia="Times New Roman" w:cs="Times New Roman"/>
          <w:b/>
          <w:bCs/>
          <w:color w:val="000000" w:themeColor="text1"/>
        </w:rPr>
        <w:t>VaPCAT</w:t>
      </w:r>
      <w:proofErr w:type="spellEnd"/>
      <w:r w:rsidRPr="6BB71450">
        <w:rPr>
          <w:rFonts w:eastAsia="Times New Roman" w:cs="Times New Roman"/>
          <w:b/>
          <w:bCs/>
          <w:color w:val="000000" w:themeColor="text1"/>
        </w:rPr>
        <w:t>)</w:t>
      </w:r>
      <w:r w:rsidRPr="6BB71450">
        <w:rPr>
          <w:rFonts w:eastAsia="Times New Roman" w:cs="Times New Roman"/>
          <w:color w:val="000000" w:themeColor="text1"/>
        </w:rPr>
        <w:t xml:space="preserve">: </w:t>
      </w:r>
      <w:r w:rsidR="00CF4161">
        <w:rPr>
          <w:rFonts w:eastAsia="Times New Roman" w:cs="Times New Roman"/>
          <w:color w:val="000000" w:themeColor="text1"/>
        </w:rPr>
        <w:t xml:space="preserve">The </w:t>
      </w:r>
      <w:proofErr w:type="spellStart"/>
      <w:r w:rsidR="00CF4161">
        <w:rPr>
          <w:rFonts w:eastAsia="Times New Roman" w:cs="Times New Roman"/>
          <w:color w:val="000000" w:themeColor="text1"/>
        </w:rPr>
        <w:t>VaPCAT</w:t>
      </w:r>
      <w:proofErr w:type="spellEnd"/>
      <w:r w:rsidR="00CF4161">
        <w:rPr>
          <w:rFonts w:eastAsia="Times New Roman" w:cs="Times New Roman"/>
          <w:color w:val="000000" w:themeColor="text1"/>
        </w:rPr>
        <w:t xml:space="preserve"> supports primary care practices in assessing their capabilities for engaging in VBP arrangements across five core domains: (a) </w:t>
      </w:r>
      <w:r w:rsidRPr="6BB71450" w:rsidR="00CF4161">
        <w:rPr>
          <w:rFonts w:eastAsia="Times New Roman" w:cs="Times New Roman"/>
          <w:color w:val="000000" w:themeColor="text1"/>
        </w:rPr>
        <w:t xml:space="preserve">leadership, governance, and legal; </w:t>
      </w:r>
      <w:r w:rsidR="00CF4161">
        <w:rPr>
          <w:rFonts w:eastAsia="Times New Roman" w:cs="Times New Roman"/>
          <w:color w:val="000000" w:themeColor="text1"/>
        </w:rPr>
        <w:t xml:space="preserve">(b) </w:t>
      </w:r>
      <w:r w:rsidRPr="6BB71450" w:rsidR="00CF4161">
        <w:rPr>
          <w:rFonts w:eastAsia="Times New Roman" w:cs="Times New Roman"/>
          <w:color w:val="000000" w:themeColor="text1"/>
        </w:rPr>
        <w:t xml:space="preserve">operations; </w:t>
      </w:r>
      <w:r w:rsidR="00CF4161">
        <w:rPr>
          <w:rFonts w:eastAsia="Times New Roman" w:cs="Times New Roman"/>
          <w:color w:val="000000" w:themeColor="text1"/>
        </w:rPr>
        <w:t xml:space="preserve">(c) </w:t>
      </w:r>
      <w:r w:rsidRPr="6BB71450" w:rsidR="00CF4161">
        <w:rPr>
          <w:rFonts w:eastAsia="Times New Roman" w:cs="Times New Roman"/>
          <w:color w:val="000000" w:themeColor="text1"/>
        </w:rPr>
        <w:t>data</w:t>
      </w:r>
      <w:r w:rsidR="00CF4161">
        <w:rPr>
          <w:rFonts w:eastAsia="Times New Roman" w:cs="Times New Roman"/>
          <w:color w:val="000000" w:themeColor="text1"/>
        </w:rPr>
        <w:t>,</w:t>
      </w:r>
      <w:r w:rsidRPr="6BB71450" w:rsidR="00CF4161">
        <w:rPr>
          <w:rFonts w:eastAsia="Times New Roman" w:cs="Times New Roman"/>
          <w:color w:val="000000" w:themeColor="text1"/>
        </w:rPr>
        <w:t xml:space="preserve"> analytics</w:t>
      </w:r>
      <w:r w:rsidR="00CF4161">
        <w:rPr>
          <w:rFonts w:eastAsia="Times New Roman" w:cs="Times New Roman"/>
          <w:color w:val="000000" w:themeColor="text1"/>
        </w:rPr>
        <w:t>,</w:t>
      </w:r>
      <w:r w:rsidRPr="6BB71450" w:rsidR="00CF4161">
        <w:rPr>
          <w:rFonts w:eastAsia="Times New Roman" w:cs="Times New Roman"/>
          <w:color w:val="000000" w:themeColor="text1"/>
        </w:rPr>
        <w:t xml:space="preserve"> and technology; </w:t>
      </w:r>
      <w:r w:rsidR="00CF4161">
        <w:rPr>
          <w:rFonts w:eastAsia="Times New Roman" w:cs="Times New Roman"/>
          <w:color w:val="000000" w:themeColor="text1"/>
        </w:rPr>
        <w:t xml:space="preserve">(d) </w:t>
      </w:r>
      <w:r w:rsidRPr="6BB71450" w:rsidR="00CF4161">
        <w:rPr>
          <w:rFonts w:eastAsia="Times New Roman" w:cs="Times New Roman"/>
          <w:color w:val="000000" w:themeColor="text1"/>
        </w:rPr>
        <w:t>financial; and</w:t>
      </w:r>
      <w:r w:rsidR="008B15CA">
        <w:rPr>
          <w:rFonts w:eastAsia="Times New Roman" w:cs="Times New Roman"/>
          <w:color w:val="000000" w:themeColor="text1"/>
        </w:rPr>
        <w:t>,</w:t>
      </w:r>
      <w:r w:rsidR="00CF4161">
        <w:rPr>
          <w:rFonts w:eastAsia="Times New Roman" w:cs="Times New Roman"/>
          <w:color w:val="000000" w:themeColor="text1"/>
        </w:rPr>
        <w:t xml:space="preserve"> (</w:t>
      </w:r>
      <w:r w:rsidR="00817978">
        <w:rPr>
          <w:rFonts w:eastAsia="Times New Roman" w:cs="Times New Roman"/>
          <w:color w:val="000000" w:themeColor="text1"/>
        </w:rPr>
        <w:t>e</w:t>
      </w:r>
      <w:r w:rsidR="00CF4161">
        <w:rPr>
          <w:rFonts w:eastAsia="Times New Roman" w:cs="Times New Roman"/>
          <w:color w:val="000000" w:themeColor="text1"/>
        </w:rPr>
        <w:t>)</w:t>
      </w:r>
      <w:r w:rsidRPr="6BB71450" w:rsidR="00CF4161">
        <w:rPr>
          <w:rFonts w:eastAsia="Times New Roman" w:cs="Times New Roman"/>
          <w:color w:val="000000" w:themeColor="text1"/>
        </w:rPr>
        <w:t xml:space="preserve"> payer and partner relations.</w:t>
      </w:r>
      <w:r w:rsidR="00CF4161">
        <w:rPr>
          <w:rFonts w:eastAsia="Times New Roman" w:cs="Times New Roman"/>
          <w:color w:val="000000" w:themeColor="text1"/>
        </w:rPr>
        <w:t xml:space="preserve"> </w:t>
      </w:r>
      <w:r w:rsidR="00CF4161">
        <w:t xml:space="preserve">It </w:t>
      </w:r>
      <w:r w:rsidR="00086AD9">
        <w:t>was developed through a 30-member Medi-Cal VBP Implementation Workgroup that included multi-stakeholder representatives from state agencies, provider associations, health plans, and practices. The tool was informed by existing value-based payment frameworks, adapted from national literature, and vetted and formally tested with a diverse group of practices</w:t>
      </w:r>
      <w:r w:rsidR="00CF4161">
        <w:t>. R</w:t>
      </w:r>
      <w:r w:rsidR="00086AD9">
        <w:t xml:space="preserve">efinements </w:t>
      </w:r>
      <w:r w:rsidR="00CF4161">
        <w:t xml:space="preserve">were </w:t>
      </w:r>
      <w:r w:rsidR="00086AD9">
        <w:t xml:space="preserve">made based on feedback.  </w:t>
      </w:r>
    </w:p>
    <w:p w:rsidR="00C50C8E" w:rsidP="00C50C8E" w:rsidRDefault="00C50C8E" w14:paraId="084AE24F" w14:textId="77777777">
      <w:pPr>
        <w:spacing w:after="0" w:line="240" w:lineRule="auto"/>
        <w:ind w:left="360"/>
        <w:rPr>
          <w:rFonts w:eastAsia="Times New Roman" w:cs="Times New Roman"/>
          <w:color w:val="000000" w:themeColor="text1"/>
        </w:rPr>
      </w:pPr>
    </w:p>
    <w:p w:rsidR="00CB6CE3" w:rsidP="00C50C8E" w:rsidRDefault="00E037B7" w14:paraId="621B49D6" w14:textId="3242FC33">
      <w:pPr>
        <w:spacing w:after="0" w:line="240" w:lineRule="auto"/>
        <w:ind w:left="720"/>
        <w:rPr>
          <w:rFonts w:eastAsia="Times New Roman" w:cs="Times New Roman"/>
          <w:color w:val="000000" w:themeColor="text1"/>
        </w:rPr>
      </w:pPr>
      <w:r>
        <w:t xml:space="preserve">The </w:t>
      </w:r>
      <w:proofErr w:type="spellStart"/>
      <w:r>
        <w:t>VaPCAT</w:t>
      </w:r>
      <w:proofErr w:type="spellEnd"/>
      <w:r>
        <w:t xml:space="preserve"> complements the population health domains assessed through the </w:t>
      </w:r>
      <w:proofErr w:type="spellStart"/>
      <w:r>
        <w:t>PhmCAT</w:t>
      </w:r>
      <w:proofErr w:type="spellEnd"/>
      <w:r>
        <w:t xml:space="preserve">. Considering results from both tools provides a more nuanced understanding of the clinical capabilities, population health management skills and organizational infrastructure needed to succeed in VBP arrangements. </w:t>
      </w:r>
      <w:r w:rsidRPr="004A4D3B" w:rsidR="00274822">
        <w:rPr>
          <w:rFonts w:eastAsia="Times New Roman" w:cs="Times New Roman"/>
          <w:color w:val="000000" w:themeColor="text1"/>
        </w:rPr>
        <w:t xml:space="preserve">The </w:t>
      </w:r>
      <w:proofErr w:type="spellStart"/>
      <w:r w:rsidRPr="004A4D3B" w:rsidR="00274822">
        <w:rPr>
          <w:rFonts w:eastAsia="Times New Roman" w:cs="Times New Roman"/>
          <w:color w:val="000000" w:themeColor="text1"/>
        </w:rPr>
        <w:t>VaPCAT</w:t>
      </w:r>
      <w:proofErr w:type="spellEnd"/>
      <w:r w:rsidRPr="004A4D3B" w:rsidR="00274822">
        <w:rPr>
          <w:rFonts w:eastAsia="Times New Roman" w:cs="Times New Roman"/>
          <w:color w:val="000000" w:themeColor="text1"/>
        </w:rPr>
        <w:t xml:space="preserve"> is best completed by </w:t>
      </w:r>
      <w:r w:rsidRPr="004A4D3B" w:rsidR="000B7CAD">
        <w:rPr>
          <w:rFonts w:eastAsia="Times New Roman" w:cs="Times New Roman"/>
          <w:color w:val="000000" w:themeColor="text1"/>
        </w:rPr>
        <w:t xml:space="preserve">an individual or team </w:t>
      </w:r>
      <w:r w:rsidRPr="004A4D3B" w:rsidR="00274822">
        <w:rPr>
          <w:rFonts w:eastAsia="Times New Roman" w:cs="Times New Roman"/>
          <w:color w:val="000000" w:themeColor="text1"/>
        </w:rPr>
        <w:t>with visibility into financial, operational, and data assets of the organization</w:t>
      </w:r>
      <w:r w:rsidRPr="004A4D3B" w:rsidR="000B7CAD">
        <w:rPr>
          <w:rFonts w:eastAsia="Times New Roman" w:cs="Times New Roman"/>
          <w:color w:val="000000" w:themeColor="text1"/>
        </w:rPr>
        <w:t>. This is</w:t>
      </w:r>
      <w:r w:rsidRPr="004A4D3B" w:rsidR="00274822">
        <w:rPr>
          <w:rFonts w:eastAsia="Times New Roman" w:cs="Times New Roman"/>
          <w:color w:val="000000" w:themeColor="text1"/>
        </w:rPr>
        <w:t xml:space="preserve"> most often</w:t>
      </w:r>
      <w:r w:rsidRPr="2F627E18" w:rsidR="39B6802D">
        <w:rPr>
          <w:rFonts w:eastAsia="Times New Roman" w:cs="Times New Roman"/>
          <w:color w:val="000000" w:themeColor="text1"/>
        </w:rPr>
        <w:t xml:space="preserve"> the</w:t>
      </w:r>
      <w:r w:rsidRPr="004A4D3B" w:rsidR="00274822">
        <w:rPr>
          <w:rFonts w:eastAsia="Times New Roman" w:cs="Times New Roman"/>
          <w:color w:val="000000" w:themeColor="text1"/>
        </w:rPr>
        <w:t xml:space="preserve"> practice owner</w:t>
      </w:r>
      <w:r w:rsidRPr="004A4D3B" w:rsidR="000B7CAD">
        <w:rPr>
          <w:rFonts w:eastAsia="Times New Roman" w:cs="Times New Roman"/>
          <w:color w:val="000000" w:themeColor="text1"/>
        </w:rPr>
        <w:t>(s)</w:t>
      </w:r>
      <w:r w:rsidRPr="004A4D3B" w:rsidR="00274822">
        <w:rPr>
          <w:rFonts w:eastAsia="Times New Roman" w:cs="Times New Roman"/>
          <w:color w:val="000000" w:themeColor="text1"/>
        </w:rPr>
        <w:t xml:space="preserve"> or senior or executive organizational leader</w:t>
      </w:r>
      <w:r w:rsidRPr="004A4D3B" w:rsidR="000B7CAD">
        <w:rPr>
          <w:rFonts w:eastAsia="Times New Roman" w:cs="Times New Roman"/>
          <w:color w:val="000000" w:themeColor="text1"/>
        </w:rPr>
        <w:t>(s)</w:t>
      </w:r>
      <w:r w:rsidRPr="004A4D3B" w:rsidR="00274822">
        <w:rPr>
          <w:rFonts w:eastAsia="Times New Roman" w:cs="Times New Roman"/>
          <w:color w:val="000000" w:themeColor="text1"/>
        </w:rPr>
        <w:t>. If no one holds all those insights, it</w:t>
      </w:r>
      <w:r w:rsidR="004C28F2">
        <w:rPr>
          <w:rFonts w:eastAsia="Times New Roman" w:cs="Times New Roman"/>
          <w:color w:val="000000" w:themeColor="text1"/>
        </w:rPr>
        <w:t xml:space="preserve"> would</w:t>
      </w:r>
      <w:r w:rsidRPr="004A4D3B" w:rsidR="00274822">
        <w:rPr>
          <w:rFonts w:eastAsia="Times New Roman" w:cs="Times New Roman"/>
          <w:color w:val="000000" w:themeColor="text1"/>
        </w:rPr>
        <w:t xml:space="preserve"> be helpful to solicit input from several individual leaders.</w:t>
      </w:r>
      <w:r w:rsidRPr="004A4D3B" w:rsidR="00673F74">
        <w:rPr>
          <w:rFonts w:eastAsia="Times New Roman" w:cs="Times New Roman"/>
          <w:color w:val="000000" w:themeColor="text1"/>
        </w:rPr>
        <w:t xml:space="preserve"> </w:t>
      </w:r>
      <w:r w:rsidRPr="2F627E18" w:rsidR="5A09EEDB">
        <w:rPr>
          <w:rFonts w:eastAsia="Times New Roman" w:cs="Times New Roman"/>
          <w:color w:val="000000" w:themeColor="text1"/>
        </w:rPr>
        <w:t>A hard copy of t</w:t>
      </w:r>
      <w:r w:rsidRPr="2F627E18" w:rsidR="00B80C6F">
        <w:rPr>
          <w:rFonts w:eastAsia="Times New Roman" w:cs="Times New Roman"/>
          <w:color w:val="000000" w:themeColor="text1"/>
        </w:rPr>
        <w:t xml:space="preserve">he </w:t>
      </w:r>
      <w:proofErr w:type="spellStart"/>
      <w:r w:rsidRPr="2F627E18" w:rsidR="00B80C6F">
        <w:rPr>
          <w:rFonts w:eastAsia="Times New Roman" w:cs="Times New Roman"/>
          <w:color w:val="000000" w:themeColor="text1"/>
        </w:rPr>
        <w:t>Va</w:t>
      </w:r>
      <w:r w:rsidRPr="2F627E18" w:rsidR="42CAAD95">
        <w:rPr>
          <w:rFonts w:eastAsia="Times New Roman" w:cs="Times New Roman"/>
          <w:color w:val="000000" w:themeColor="text1"/>
        </w:rPr>
        <w:t>P</w:t>
      </w:r>
      <w:r w:rsidRPr="2F627E18" w:rsidR="00B80C6F">
        <w:rPr>
          <w:rFonts w:eastAsia="Times New Roman" w:cs="Times New Roman"/>
          <w:color w:val="000000" w:themeColor="text1"/>
        </w:rPr>
        <w:t>CAT</w:t>
      </w:r>
      <w:proofErr w:type="spellEnd"/>
      <w:r w:rsidRPr="2F627E18" w:rsidR="00B80C6F">
        <w:rPr>
          <w:rFonts w:eastAsia="Times New Roman" w:cs="Times New Roman"/>
          <w:color w:val="000000" w:themeColor="text1"/>
        </w:rPr>
        <w:t xml:space="preserve"> is accessible </w:t>
      </w:r>
      <w:hyperlink r:id="rId11">
        <w:r w:rsidRPr="2F627E18" w:rsidR="00B80C6F">
          <w:rPr>
            <w:rStyle w:val="Hyperlink"/>
            <w:rFonts w:eastAsia="Times New Roman" w:cs="Times New Roman"/>
          </w:rPr>
          <w:t>here</w:t>
        </w:r>
      </w:hyperlink>
      <w:r w:rsidRPr="2F627E18" w:rsidR="00A7149A">
        <w:rPr>
          <w:rFonts w:eastAsia="Times New Roman" w:cs="Times New Roman"/>
          <w:color w:val="000000" w:themeColor="text1"/>
        </w:rPr>
        <w:t>.</w:t>
      </w:r>
      <w:r w:rsidRPr="2F627E18" w:rsidR="00B80C6F">
        <w:rPr>
          <w:rFonts w:eastAsia="Times New Roman" w:cs="Times New Roman"/>
          <w:color w:val="000000" w:themeColor="text1"/>
        </w:rPr>
        <w:t xml:space="preserve"> </w:t>
      </w:r>
    </w:p>
    <w:p w:rsidRPr="004A4D3B" w:rsidR="00C50C8E" w:rsidP="004A4D3B" w:rsidRDefault="00C50C8E" w14:paraId="0C55D905" w14:textId="77777777">
      <w:pPr>
        <w:spacing w:after="0" w:line="240" w:lineRule="auto"/>
        <w:ind w:left="720"/>
        <w:rPr>
          <w:rFonts w:eastAsia="Times New Roman" w:cs="Times New Roman"/>
          <w:color w:val="000000" w:themeColor="text1"/>
        </w:rPr>
      </w:pPr>
    </w:p>
    <w:p w:rsidR="001E6927" w:rsidP="000E14D7" w:rsidRDefault="005952F9" w14:paraId="6A2956B4" w14:textId="3123204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71498A">
        <w:rPr>
          <w:rFonts w:eastAsia="Times New Roman" w:cs="Times New Roman"/>
          <w:b/>
          <w:bCs/>
          <w:color w:val="000000" w:themeColor="text1"/>
        </w:rPr>
        <w:t>Gap</w:t>
      </w:r>
      <w:r w:rsidR="000B7AF0">
        <w:rPr>
          <w:rFonts w:eastAsia="Times New Roman" w:cs="Times New Roman"/>
          <w:b/>
          <w:bCs/>
          <w:color w:val="000000" w:themeColor="text1"/>
        </w:rPr>
        <w:t xml:space="preserve"> </w:t>
      </w:r>
      <w:r w:rsidR="00BB337B">
        <w:rPr>
          <w:rFonts w:eastAsia="Times New Roman" w:cs="Times New Roman"/>
          <w:b/>
          <w:bCs/>
          <w:color w:val="000000" w:themeColor="text1"/>
        </w:rPr>
        <w:t>a</w:t>
      </w:r>
      <w:r w:rsidR="003B7275">
        <w:rPr>
          <w:rFonts w:eastAsia="Times New Roman" w:cs="Times New Roman"/>
          <w:b/>
          <w:bCs/>
          <w:color w:val="000000" w:themeColor="text1"/>
        </w:rPr>
        <w:t>nalysis</w:t>
      </w:r>
      <w:r w:rsidR="000B7AF0">
        <w:rPr>
          <w:rFonts w:eastAsia="Times New Roman" w:cs="Times New Roman"/>
          <w:b/>
          <w:bCs/>
          <w:color w:val="000000" w:themeColor="text1"/>
        </w:rPr>
        <w:t xml:space="preserve"> </w:t>
      </w:r>
      <w:r w:rsidR="00BB337B">
        <w:rPr>
          <w:rFonts w:eastAsia="Times New Roman" w:cs="Times New Roman"/>
          <w:b/>
          <w:bCs/>
          <w:color w:val="000000" w:themeColor="text1"/>
        </w:rPr>
        <w:t>to identify areas of improvement</w:t>
      </w:r>
      <w:r w:rsidRPr="0071498A" w:rsidR="00AE1D56">
        <w:rPr>
          <w:rFonts w:eastAsia="Times New Roman" w:cs="Times New Roman"/>
          <w:color w:val="000000" w:themeColor="text1"/>
        </w:rPr>
        <w:t xml:space="preserve">: </w:t>
      </w:r>
      <w:r w:rsidRPr="0071498A" w:rsidR="0062471C">
        <w:rPr>
          <w:rFonts w:eastAsia="Times New Roman" w:cs="Times New Roman"/>
          <w:color w:val="000000" w:themeColor="text1"/>
        </w:rPr>
        <w:t xml:space="preserve">EPT practices </w:t>
      </w:r>
      <w:r w:rsidR="00BB337B">
        <w:rPr>
          <w:rFonts w:eastAsia="Times New Roman" w:cs="Times New Roman"/>
          <w:color w:val="000000" w:themeColor="text1"/>
        </w:rPr>
        <w:t>will</w:t>
      </w:r>
      <w:r w:rsidRPr="0071498A" w:rsidR="00BB337B">
        <w:rPr>
          <w:rFonts w:eastAsia="Times New Roman" w:cs="Times New Roman"/>
          <w:color w:val="000000" w:themeColor="text1"/>
        </w:rPr>
        <w:t xml:space="preserve"> </w:t>
      </w:r>
      <w:r w:rsidRPr="0071498A" w:rsidR="0062471C">
        <w:rPr>
          <w:rFonts w:eastAsia="Times New Roman" w:cs="Times New Roman"/>
          <w:color w:val="000000" w:themeColor="text1"/>
        </w:rPr>
        <w:t xml:space="preserve">use the results of the </w:t>
      </w:r>
      <w:proofErr w:type="spellStart"/>
      <w:r w:rsidRPr="0071498A" w:rsidR="0062471C">
        <w:rPr>
          <w:rFonts w:eastAsia="Times New Roman" w:cs="Times New Roman"/>
          <w:color w:val="000000" w:themeColor="text1"/>
        </w:rPr>
        <w:t>VaPCAT</w:t>
      </w:r>
      <w:proofErr w:type="spellEnd"/>
      <w:r w:rsidRPr="0071498A" w:rsidR="0062471C">
        <w:rPr>
          <w:rFonts w:eastAsia="Times New Roman" w:cs="Times New Roman"/>
          <w:color w:val="000000" w:themeColor="text1"/>
        </w:rPr>
        <w:t xml:space="preserve"> </w:t>
      </w:r>
      <w:r w:rsidRPr="0071498A" w:rsidR="00AB0A8D">
        <w:rPr>
          <w:rFonts w:eastAsia="Times New Roman" w:cs="Times New Roman"/>
          <w:color w:val="000000" w:themeColor="text1"/>
        </w:rPr>
        <w:t>to</w:t>
      </w:r>
      <w:r w:rsidRPr="0071498A" w:rsidR="0062471C">
        <w:rPr>
          <w:rFonts w:eastAsia="Times New Roman" w:cs="Times New Roman"/>
          <w:color w:val="000000" w:themeColor="text1"/>
        </w:rPr>
        <w:t xml:space="preserve"> ident</w:t>
      </w:r>
      <w:r w:rsidRPr="0071498A" w:rsidR="00123093">
        <w:rPr>
          <w:rFonts w:eastAsia="Times New Roman" w:cs="Times New Roman"/>
          <w:color w:val="000000" w:themeColor="text1"/>
        </w:rPr>
        <w:t xml:space="preserve">ify </w:t>
      </w:r>
      <w:r w:rsidR="00BB337B">
        <w:rPr>
          <w:rFonts w:eastAsia="Times New Roman" w:cs="Times New Roman"/>
          <w:color w:val="000000" w:themeColor="text1"/>
        </w:rPr>
        <w:t xml:space="preserve">three areas of opportunity to increase readiness to participate in VBP arrangements. </w:t>
      </w:r>
    </w:p>
    <w:p w:rsidRPr="0071498A" w:rsidR="00AB0A8D" w:rsidP="000E14D7" w:rsidRDefault="00BB337B" w14:paraId="7C4B0805" w14:textId="63C4DA3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BB337B">
        <w:rPr>
          <w:rFonts w:eastAsia="Times New Roman" w:cs="Times New Roman"/>
          <w:b/>
          <w:bCs/>
          <w:color w:val="000000" w:themeColor="text1"/>
        </w:rPr>
        <w:t>Develop an action plan to improve readiness for VBP</w:t>
      </w:r>
      <w:r w:rsidRPr="004A4D3B">
        <w:rPr>
          <w:rFonts w:eastAsia="Times New Roman" w:cs="Times New Roman"/>
          <w:color w:val="000000" w:themeColor="text1"/>
        </w:rPr>
        <w:t xml:space="preserve">: For each identified </w:t>
      </w:r>
      <w:r w:rsidRPr="004A4D3B" w:rsidR="000E2E7A">
        <w:rPr>
          <w:rFonts w:eastAsia="Times New Roman" w:cs="Times New Roman"/>
          <w:color w:val="000000" w:themeColor="text1"/>
        </w:rPr>
        <w:t xml:space="preserve">improvement </w:t>
      </w:r>
      <w:r w:rsidRPr="004A4D3B">
        <w:rPr>
          <w:rFonts w:eastAsia="Times New Roman" w:cs="Times New Roman"/>
          <w:color w:val="000000" w:themeColor="text1"/>
        </w:rPr>
        <w:t xml:space="preserve">area, </w:t>
      </w:r>
      <w:r w:rsidRPr="004A4D3B" w:rsidR="000E2E7A">
        <w:rPr>
          <w:rFonts w:eastAsia="Times New Roman" w:cs="Times New Roman"/>
          <w:color w:val="000000" w:themeColor="text1"/>
        </w:rPr>
        <w:t>EPT practices will develop a plan to improve readiness for VBP.</w:t>
      </w:r>
      <w:r w:rsidR="000E2E7A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4A4D3B" w:rsidR="000E2E7A">
        <w:rPr>
          <w:rFonts w:eastAsia="Times New Roman" w:cs="Times New Roman"/>
          <w:color w:val="000000" w:themeColor="text1"/>
        </w:rPr>
        <w:t xml:space="preserve">This plan will include </w:t>
      </w:r>
      <w:r w:rsidR="00673F74">
        <w:rPr>
          <w:rFonts w:eastAsia="Times New Roman" w:cs="Times New Roman"/>
          <w:color w:val="000000" w:themeColor="text1"/>
        </w:rPr>
        <w:t>identifying</w:t>
      </w:r>
      <w:r w:rsidR="009F71F7">
        <w:rPr>
          <w:rFonts w:eastAsia="Times New Roman" w:cs="Times New Roman"/>
          <w:color w:val="000000" w:themeColor="text1"/>
        </w:rPr>
        <w:t xml:space="preserve">: </w:t>
      </w:r>
      <w:r w:rsidRPr="004A4D3B" w:rsidR="000E2E7A">
        <w:rPr>
          <w:rFonts w:eastAsia="Times New Roman" w:cs="Times New Roman"/>
          <w:color w:val="000000" w:themeColor="text1"/>
        </w:rPr>
        <w:t xml:space="preserve">desired </w:t>
      </w:r>
      <w:r w:rsidRPr="004A4D3B">
        <w:rPr>
          <w:rFonts w:eastAsia="Times New Roman" w:cs="Times New Roman"/>
          <w:color w:val="000000" w:themeColor="text1"/>
        </w:rPr>
        <w:t>goal</w:t>
      </w:r>
      <w:r w:rsidRPr="004A4D3B" w:rsidR="000E2E7A">
        <w:rPr>
          <w:rFonts w:eastAsia="Times New Roman" w:cs="Times New Roman"/>
          <w:color w:val="000000" w:themeColor="text1"/>
        </w:rPr>
        <w:t xml:space="preserve"> or </w:t>
      </w:r>
      <w:r w:rsidRPr="004A4D3B">
        <w:rPr>
          <w:rFonts w:eastAsia="Times New Roman" w:cs="Times New Roman"/>
          <w:color w:val="000000" w:themeColor="text1"/>
        </w:rPr>
        <w:t>objective</w:t>
      </w:r>
      <w:r w:rsidR="009F71F7">
        <w:rPr>
          <w:rFonts w:eastAsia="Times New Roman" w:cs="Times New Roman"/>
          <w:color w:val="000000" w:themeColor="text1"/>
        </w:rPr>
        <w:t>;</w:t>
      </w:r>
      <w:r w:rsidRPr="004A4D3B">
        <w:rPr>
          <w:rFonts w:eastAsia="Times New Roman" w:cs="Times New Roman"/>
          <w:color w:val="000000" w:themeColor="text1"/>
        </w:rPr>
        <w:t xml:space="preserve"> </w:t>
      </w:r>
      <w:r w:rsidR="00D92A20">
        <w:rPr>
          <w:rFonts w:eastAsia="Times New Roman" w:cs="Times New Roman"/>
          <w:color w:val="000000" w:themeColor="text1"/>
        </w:rPr>
        <w:t>activities</w:t>
      </w:r>
      <w:r w:rsidR="00B87A8B">
        <w:rPr>
          <w:rFonts w:eastAsia="Times New Roman" w:cs="Times New Roman"/>
          <w:color w:val="000000" w:themeColor="text1"/>
        </w:rPr>
        <w:t xml:space="preserve"> and timeline</w:t>
      </w:r>
      <w:r w:rsidR="00D92A20">
        <w:rPr>
          <w:rFonts w:eastAsia="Times New Roman" w:cs="Times New Roman"/>
          <w:color w:val="000000" w:themeColor="text1"/>
        </w:rPr>
        <w:t xml:space="preserve"> to achieve this objective; </w:t>
      </w:r>
      <w:r w:rsidR="00B87A8B">
        <w:rPr>
          <w:rFonts w:eastAsia="Times New Roman" w:cs="Times New Roman"/>
          <w:color w:val="000000" w:themeColor="text1"/>
        </w:rPr>
        <w:t>key decisions; structural changes;</w:t>
      </w:r>
      <w:r w:rsidR="000E2E7A">
        <w:rPr>
          <w:rFonts w:eastAsia="Times New Roman" w:cs="Times New Roman"/>
          <w:color w:val="000000" w:themeColor="text1"/>
        </w:rPr>
        <w:t xml:space="preserve"> </w:t>
      </w:r>
      <w:r w:rsidR="00B87A8B">
        <w:rPr>
          <w:rFonts w:eastAsia="Times New Roman" w:cs="Times New Roman"/>
          <w:color w:val="000000" w:themeColor="text1"/>
        </w:rPr>
        <w:t xml:space="preserve">staffing and leadership engagement; how progress will be measured; </w:t>
      </w:r>
      <w:r w:rsidR="00A42BAA">
        <w:rPr>
          <w:rFonts w:eastAsia="Times New Roman" w:cs="Times New Roman"/>
          <w:color w:val="000000" w:themeColor="text1"/>
        </w:rPr>
        <w:t>and</w:t>
      </w:r>
      <w:r w:rsidR="00CC3E21">
        <w:rPr>
          <w:rFonts w:eastAsia="Times New Roman" w:cs="Times New Roman"/>
          <w:color w:val="000000" w:themeColor="text1"/>
        </w:rPr>
        <w:t>,</w:t>
      </w:r>
      <w:r w:rsidR="00A42BAA">
        <w:rPr>
          <w:rFonts w:eastAsia="Times New Roman" w:cs="Times New Roman"/>
          <w:color w:val="000000" w:themeColor="text1"/>
        </w:rPr>
        <w:t xml:space="preserve"> any </w:t>
      </w:r>
      <w:r w:rsidRPr="004A4D3B">
        <w:rPr>
          <w:rFonts w:eastAsia="Times New Roman" w:cs="Times New Roman"/>
          <w:color w:val="000000" w:themeColor="text1"/>
        </w:rPr>
        <w:t xml:space="preserve">anticipated </w:t>
      </w:r>
      <w:r w:rsidR="00B87A8B">
        <w:rPr>
          <w:rFonts w:eastAsia="Times New Roman" w:cs="Times New Roman"/>
          <w:color w:val="000000" w:themeColor="text1"/>
        </w:rPr>
        <w:t>risks</w:t>
      </w:r>
      <w:r w:rsidRPr="004A4D3B">
        <w:rPr>
          <w:rFonts w:eastAsia="Times New Roman" w:cs="Times New Roman"/>
          <w:color w:val="000000" w:themeColor="text1"/>
        </w:rPr>
        <w:t xml:space="preserve"> and mitigation strategies</w:t>
      </w:r>
      <w:r w:rsidR="00A42BAA">
        <w:rPr>
          <w:rFonts w:eastAsia="Times New Roman" w:cs="Times New Roman"/>
          <w:color w:val="000000" w:themeColor="text1"/>
        </w:rPr>
        <w:t>.</w:t>
      </w:r>
      <w:r w:rsidRPr="0071498A" w:rsidR="00AB0A8D">
        <w:rPr>
          <w:rFonts w:eastAsia="Times New Roman" w:cs="Times New Roman"/>
          <w:color w:val="000000" w:themeColor="text1"/>
        </w:rPr>
        <w:t xml:space="preserve"> </w:t>
      </w:r>
      <w:r w:rsidR="00D92A20">
        <w:rPr>
          <w:rFonts w:eastAsia="Times New Roman" w:cs="Times New Roman"/>
          <w:color w:val="000000" w:themeColor="text1"/>
        </w:rPr>
        <w:t>EPT practices will also describe the process they undertook to develop the action plan.</w:t>
      </w:r>
    </w:p>
    <w:p w:rsidRPr="00A41827" w:rsidR="0068038B" w:rsidP="080DEDEE" w:rsidRDefault="0068038B" w14:paraId="4BC61670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:rsidR="00C466C2" w:rsidP="080DEDEE" w:rsidRDefault="00C466C2" w14:paraId="494949F8" w14:textId="5154F919">
      <w:p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Entering into a new VBP contract </w:t>
      </w:r>
      <w:r w:rsidRPr="00C466C2">
        <w:rPr>
          <w:rFonts w:eastAsia="Times New Roman" w:cs="Times New Roman"/>
          <w:b/>
          <w:bCs/>
          <w:color w:val="000000" w:themeColor="text1"/>
        </w:rPr>
        <w:t>is not</w:t>
      </w:r>
      <w:r>
        <w:rPr>
          <w:rFonts w:eastAsia="Times New Roman" w:cs="Times New Roman"/>
          <w:color w:val="000000" w:themeColor="text1"/>
        </w:rPr>
        <w:t xml:space="preserve"> required to meet this milestone. </w:t>
      </w:r>
    </w:p>
    <w:p w:rsidR="00C466C2" w:rsidP="080DEDEE" w:rsidRDefault="00C466C2" w14:paraId="0442F5C0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:rsidR="001178EA" w:rsidP="080DEDEE" w:rsidRDefault="001178EA" w14:paraId="53E7FE59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:rsidRPr="00A41827" w:rsidR="001178EA" w:rsidP="001178EA" w:rsidRDefault="001178EA" w14:paraId="2FB788E8" w14:textId="77777777">
      <w:pPr>
        <w:spacing w:after="0" w:line="240" w:lineRule="auto"/>
        <w:rPr>
          <w:rFonts w:eastAsiaTheme="minorEastAsia"/>
        </w:rPr>
      </w:pPr>
      <w:r w:rsidRPr="00A41827">
        <w:rPr>
          <w:rFonts w:eastAsia="Times New Roman" w:cs="Calibri"/>
          <w:b/>
          <w:bCs/>
          <w:color w:val="4F81BD"/>
        </w:rPr>
        <w:t>Instructions</w:t>
      </w:r>
    </w:p>
    <w:p w:rsidR="001178EA" w:rsidP="080DEDEE" w:rsidRDefault="001178EA" w14:paraId="764DAF0D" w14:textId="77777777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:rsidRPr="00A41827" w:rsidR="5BEED8F8" w:rsidP="080DEDEE" w:rsidRDefault="006C4D03" w14:paraId="0A55E502" w14:textId="0E7539FB">
      <w:pPr>
        <w:spacing w:after="0" w:line="240" w:lineRule="auto"/>
        <w:rPr>
          <w:rFonts w:eastAsia="Times New Roman" w:cs="Times New Roman"/>
          <w:b/>
          <w:bCs/>
        </w:rPr>
      </w:pPr>
      <w:r w:rsidRPr="00A41827">
        <w:rPr>
          <w:rFonts w:eastAsia="Times New Roman" w:cs="Times New Roman"/>
          <w:color w:val="000000" w:themeColor="text1"/>
        </w:rPr>
        <w:t xml:space="preserve">This </w:t>
      </w:r>
      <w:r w:rsidRPr="00A41827" w:rsidR="7478B2FD">
        <w:rPr>
          <w:rFonts w:eastAsia="Times New Roman" w:cs="Times New Roman"/>
          <w:color w:val="000000" w:themeColor="text1"/>
        </w:rPr>
        <w:t xml:space="preserve">template is provided for reference only and outlines the required components </w:t>
      </w:r>
      <w:r w:rsidRPr="00A41827" w:rsidR="67A0BBDF">
        <w:rPr>
          <w:rFonts w:eastAsia="Times New Roman" w:cs="Times New Roman"/>
          <w:color w:val="000000" w:themeColor="text1"/>
        </w:rPr>
        <w:t>for</w:t>
      </w:r>
      <w:r w:rsidRPr="00A41827" w:rsidR="7478B2FD">
        <w:rPr>
          <w:rFonts w:eastAsia="Times New Roman" w:cs="Times New Roman"/>
          <w:color w:val="000000" w:themeColor="text1"/>
        </w:rPr>
        <w:t xml:space="preserve"> your submission. Final deliverables must be submitted via the </w:t>
      </w:r>
      <w:r w:rsidR="003D3574">
        <w:rPr>
          <w:rFonts w:eastAsia="Times New Roman" w:cs="Times New Roman"/>
          <w:color w:val="000000" w:themeColor="text1"/>
        </w:rPr>
        <w:t>EPT</w:t>
      </w:r>
      <w:r w:rsidRPr="00A41827" w:rsidR="7478B2FD">
        <w:rPr>
          <w:rFonts w:eastAsia="Times New Roman" w:cs="Times New Roman"/>
          <w:color w:val="000000" w:themeColor="text1"/>
        </w:rPr>
        <w:t xml:space="preserve"> Deliverable Portal. If you have questions, please email </w:t>
      </w:r>
      <w:r w:rsidRPr="00C466C2" w:rsidR="00C466C2">
        <w:rPr>
          <w:rFonts w:eastAsia="Times New Roman" w:cs="Times New Roman"/>
        </w:rPr>
        <w:t>i</w:t>
      </w:r>
      <w:r w:rsidRPr="00A41827" w:rsidR="7C6A518A">
        <w:rPr>
          <w:rFonts w:eastAsia="Times New Roman" w:cs="Times New Roman"/>
        </w:rPr>
        <w:t>nfo@pophealthlc.org</w:t>
      </w:r>
      <w:r w:rsidRPr="00A41827" w:rsidR="7478B2FD">
        <w:rPr>
          <w:rFonts w:eastAsia="Times New Roman" w:cs="Times New Roman"/>
        </w:rPr>
        <w:t>.</w:t>
      </w:r>
      <w:r w:rsidRPr="00A41827" w:rsidR="53A23A95">
        <w:rPr>
          <w:rFonts w:eastAsia="Times New Roman" w:cs="Times New Roman"/>
        </w:rPr>
        <w:t xml:space="preserve"> </w:t>
      </w:r>
      <w:r w:rsidR="001F373C">
        <w:rPr>
          <w:rFonts w:eastAsia="Times New Roman" w:cs="Times New Roman"/>
        </w:rPr>
        <w:t xml:space="preserve">As reflected in the milestone description, EPT practices can </w:t>
      </w:r>
      <w:r w:rsidRPr="001F373C" w:rsidR="00C466C2">
        <w:rPr>
          <w:rFonts w:eastAsia="Times New Roman" w:cs="Times New Roman"/>
          <w:color w:val="000000" w:themeColor="text1"/>
        </w:rPr>
        <w:t>submi</w:t>
      </w:r>
      <w:r w:rsidRPr="001F373C" w:rsidR="001F373C">
        <w:rPr>
          <w:rFonts w:eastAsia="Times New Roman" w:cs="Times New Roman"/>
          <w:color w:val="000000" w:themeColor="text1"/>
        </w:rPr>
        <w:t>t this deliverable</w:t>
      </w:r>
      <w:r w:rsidRPr="001F373C" w:rsidR="00C466C2">
        <w:rPr>
          <w:rFonts w:eastAsia="Times New Roman" w:cs="Times New Roman"/>
          <w:color w:val="000000" w:themeColor="text1"/>
        </w:rPr>
        <w:t xml:space="preserve"> </w:t>
      </w:r>
      <w:r w:rsidRPr="00C466C2" w:rsidR="00C466C2">
        <w:rPr>
          <w:rFonts w:eastAsia="Times New Roman" w:cs="Times New Roman"/>
          <w:b/>
          <w:bCs/>
          <w:color w:val="EE0000"/>
        </w:rPr>
        <w:t xml:space="preserve">in either the May 2026 or November 2026 deliverable cycle. </w:t>
      </w:r>
    </w:p>
    <w:p w:rsidRPr="00A41827" w:rsidR="79409682" w:rsidP="79409682" w:rsidRDefault="79409682" w14:paraId="573FBB94" w14:textId="474364FA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:rsidRPr="004A4D3B" w:rsidR="002C19D2" w:rsidP="000E14D7" w:rsidRDefault="00347660" w14:paraId="386DBEEE" w14:textId="64DFC67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="Times New Roman"/>
          <w:color w:val="000000"/>
          <w:kern w:val="0"/>
          <w14:ligatures w14:val="none"/>
        </w:rPr>
      </w:pPr>
      <w:r w:rsidRPr="004A4D3B">
        <w:rPr>
          <w:rFonts w:eastAsia="Times New Roman" w:cs="Calibri"/>
          <w:b/>
          <w:bCs/>
          <w:color w:val="4F81BD"/>
          <w:kern w:val="0"/>
          <w14:ligatures w14:val="none"/>
        </w:rPr>
        <w:t>Value-Based Pay</w:t>
      </w:r>
      <w:r w:rsidR="007E3831">
        <w:rPr>
          <w:rFonts w:eastAsia="Times New Roman" w:cs="Calibri"/>
          <w:b/>
          <w:bCs/>
          <w:color w:val="4F81BD"/>
          <w:kern w:val="0"/>
          <w14:ligatures w14:val="none"/>
        </w:rPr>
        <w:t>ment</w:t>
      </w:r>
      <w:r w:rsidRPr="004A4D3B">
        <w:rPr>
          <w:rFonts w:eastAsia="Times New Roman" w:cs="Calibri"/>
          <w:b/>
          <w:bCs/>
          <w:color w:val="4F81BD"/>
          <w:kern w:val="0"/>
          <w14:ligatures w14:val="none"/>
        </w:rPr>
        <w:t xml:space="preserve"> Capability Assessment Tool (</w:t>
      </w:r>
      <w:proofErr w:type="spellStart"/>
      <w:r w:rsidRPr="004A4D3B">
        <w:rPr>
          <w:rFonts w:eastAsia="Times New Roman" w:cs="Calibri"/>
          <w:b/>
          <w:bCs/>
          <w:color w:val="4F81BD"/>
          <w:kern w:val="0"/>
          <w14:ligatures w14:val="none"/>
        </w:rPr>
        <w:t>VaPCAT</w:t>
      </w:r>
      <w:proofErr w:type="spellEnd"/>
      <w:r w:rsidRPr="004A4D3B">
        <w:rPr>
          <w:rFonts w:eastAsia="Times New Roman" w:cs="Calibri"/>
          <w:b/>
          <w:bCs/>
          <w:color w:val="4F81BD"/>
          <w:kern w:val="0"/>
          <w14:ligatures w14:val="none"/>
        </w:rPr>
        <w:t>)</w:t>
      </w:r>
    </w:p>
    <w:p w:rsidRPr="004A4D3B" w:rsidR="00144D0D" w:rsidP="004A4D3B" w:rsidRDefault="00144D0D" w14:paraId="2912C055" w14:textId="3479A050">
      <w:p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EPT practices complete the </w:t>
      </w:r>
      <w:proofErr w:type="spellStart"/>
      <w:r>
        <w:rPr>
          <w:rFonts w:eastAsia="Times New Roman" w:cs="Times New Roman"/>
          <w:color w:val="000000" w:themeColor="text1"/>
        </w:rPr>
        <w:t>VaPCAT</w:t>
      </w:r>
      <w:proofErr w:type="spellEnd"/>
      <w:r>
        <w:rPr>
          <w:rFonts w:eastAsia="Times New Roman" w:cs="Times New Roman"/>
          <w:color w:val="000000" w:themeColor="text1"/>
        </w:rPr>
        <w:t xml:space="preserve"> and use the results to complete the remainder of the VBP deliverable template. </w:t>
      </w:r>
      <w:r w:rsidRPr="2F627E18" w:rsidR="5CCF8153">
        <w:rPr>
          <w:rFonts w:eastAsia="Times New Roman" w:cs="Times New Roman"/>
          <w:color w:val="000000" w:themeColor="text1"/>
        </w:rPr>
        <w:t xml:space="preserve">A </w:t>
      </w:r>
      <w:r w:rsidR="007F7841">
        <w:rPr>
          <w:rFonts w:eastAsia="Times New Roman" w:cs="Times New Roman"/>
          <w:color w:val="000000" w:themeColor="text1"/>
        </w:rPr>
        <w:t>downloadable</w:t>
      </w:r>
      <w:r w:rsidRPr="2F627E18" w:rsidR="5CCF8153">
        <w:rPr>
          <w:rFonts w:eastAsia="Times New Roman" w:cs="Times New Roman"/>
          <w:color w:val="000000" w:themeColor="text1"/>
        </w:rPr>
        <w:t xml:space="preserve"> copy of t</w:t>
      </w:r>
      <w:r w:rsidRPr="2F627E18">
        <w:rPr>
          <w:rFonts w:eastAsia="Times New Roman" w:cs="Times New Roman"/>
          <w:color w:val="000000" w:themeColor="text1"/>
        </w:rPr>
        <w:t xml:space="preserve">he </w:t>
      </w:r>
      <w:proofErr w:type="spellStart"/>
      <w:r w:rsidRPr="2F627E18">
        <w:rPr>
          <w:rFonts w:eastAsia="Times New Roman" w:cs="Times New Roman"/>
          <w:color w:val="000000" w:themeColor="text1"/>
        </w:rPr>
        <w:t>VaPCAT</w:t>
      </w:r>
      <w:proofErr w:type="spellEnd"/>
      <w:r w:rsidRPr="2F627E18">
        <w:rPr>
          <w:rFonts w:eastAsia="Times New Roman" w:cs="Times New Roman"/>
          <w:color w:val="000000" w:themeColor="text1"/>
        </w:rPr>
        <w:t xml:space="preserve"> is accessible </w:t>
      </w:r>
      <w:hyperlink r:id="rId12">
        <w:r w:rsidRPr="2F627E18">
          <w:rPr>
            <w:rStyle w:val="Hyperlink"/>
            <w:rFonts w:eastAsia="Times New Roman" w:cs="Times New Roman"/>
          </w:rPr>
          <w:t>here</w:t>
        </w:r>
      </w:hyperlink>
      <w:r w:rsidRPr="2F627E18">
        <w:rPr>
          <w:rFonts w:eastAsia="Times New Roman" w:cs="Times New Roman"/>
          <w:color w:val="000000" w:themeColor="text1"/>
        </w:rPr>
        <w:t xml:space="preserve">. </w:t>
      </w:r>
    </w:p>
    <w:p w:rsidRPr="004A4D3B" w:rsidR="00144D0D" w:rsidP="004A4D3B" w:rsidRDefault="00144D0D" w14:paraId="3A83D6FD" w14:textId="77777777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</w:p>
    <w:p w:rsidRPr="004A4D3B" w:rsidR="00144D0D" w:rsidP="000E14D7" w:rsidRDefault="00144D0D" w14:paraId="33F52AF0" w14:textId="0F00A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="Times New Roman"/>
          <w:color w:val="000000"/>
          <w:kern w:val="0"/>
          <w14:ligatures w14:val="none"/>
        </w:rPr>
      </w:pPr>
      <w:r w:rsidRPr="00F075FE">
        <w:rPr>
          <w:rFonts w:eastAsia="Times New Roman" w:cs="Times New Roman"/>
          <w:b/>
          <w:bCs/>
          <w:color w:val="007BB8"/>
        </w:rPr>
        <w:t>Gap</w:t>
      </w:r>
      <w:r w:rsidRPr="00F075FE">
        <w:rPr>
          <w:rFonts w:eastAsia="Times New Roman" w:cs="Times New Roman"/>
          <w:color w:val="007BB8"/>
        </w:rPr>
        <w:t xml:space="preserve"> </w:t>
      </w:r>
      <w:r w:rsidRPr="00F075FE">
        <w:rPr>
          <w:rFonts w:eastAsia="Calibri" w:cs="Calibri"/>
          <w:b/>
          <w:bCs/>
          <w:color w:val="4F81BD"/>
        </w:rPr>
        <w:t xml:space="preserve">Analysis </w:t>
      </w:r>
      <w:r w:rsidR="00DE6F91">
        <w:rPr>
          <w:rFonts w:eastAsia="Calibri" w:cs="Calibri"/>
          <w:b/>
          <w:bCs/>
          <w:color w:val="4F81BD"/>
        </w:rPr>
        <w:t>t</w:t>
      </w:r>
      <w:r w:rsidRPr="00F075FE">
        <w:rPr>
          <w:rFonts w:eastAsia="Calibri" w:cs="Calibri"/>
          <w:b/>
          <w:bCs/>
          <w:color w:val="4F81BD"/>
        </w:rPr>
        <w:t>o Identify Areas of Improvement</w:t>
      </w:r>
    </w:p>
    <w:p w:rsidR="00660C32" w:rsidP="004A4D3B" w:rsidRDefault="008D7152" w14:paraId="1CEA0D6A" w14:textId="546AD208">
      <w:r w:rsidRPr="008D7152">
        <w:t>Th</w:t>
      </w:r>
      <w:r w:rsidR="00415328">
        <w:t>e</w:t>
      </w:r>
      <w:r w:rsidRPr="008D7152">
        <w:t xml:space="preserve"> </w:t>
      </w:r>
      <w:r w:rsidR="00415328">
        <w:t>g</w:t>
      </w:r>
      <w:r w:rsidRPr="008D7152">
        <w:t xml:space="preserve">ap </w:t>
      </w:r>
      <w:r w:rsidR="00750BEA">
        <w:t>analysis</w:t>
      </w:r>
      <w:r w:rsidR="00776E44">
        <w:t xml:space="preserve"> enables</w:t>
      </w:r>
      <w:r w:rsidRPr="008D7152">
        <w:t xml:space="preserve"> EPT practices </w:t>
      </w:r>
      <w:r w:rsidR="42B1BF09">
        <w:t xml:space="preserve">to </w:t>
      </w:r>
      <w:r w:rsidR="00DB755D">
        <w:t xml:space="preserve">use the results from the </w:t>
      </w:r>
      <w:proofErr w:type="spellStart"/>
      <w:r w:rsidR="00DB755D">
        <w:t>VaPCAT</w:t>
      </w:r>
      <w:proofErr w:type="spellEnd"/>
      <w:r w:rsidR="00DB755D">
        <w:t xml:space="preserve"> to</w:t>
      </w:r>
      <w:r w:rsidR="009650D9">
        <w:t xml:space="preserve"> identify</w:t>
      </w:r>
      <w:r w:rsidR="00DB755D">
        <w:t xml:space="preserve"> </w:t>
      </w:r>
      <w:r w:rsidR="00A07D74">
        <w:t xml:space="preserve">areas where capabilities may not be fully built out. Identifying and prioritizing these areas can </w:t>
      </w:r>
      <w:r w:rsidR="00187557">
        <w:t>improve readiness to participate in VBP arrangements.</w:t>
      </w:r>
      <w:r w:rsidR="0001639E">
        <w:t xml:space="preserve"> Some </w:t>
      </w:r>
      <w:r w:rsidRPr="008D7152">
        <w:t xml:space="preserve">capabilities </w:t>
      </w:r>
      <w:r w:rsidR="00776E44">
        <w:t>may</w:t>
      </w:r>
      <w:r w:rsidR="00CC4F75">
        <w:t xml:space="preserve"> be </w:t>
      </w:r>
      <w:r w:rsidRPr="008D7152">
        <w:t>built internally</w:t>
      </w:r>
      <w:r w:rsidR="05050F48">
        <w:t>,</w:t>
      </w:r>
      <w:r w:rsidR="00CC4F75">
        <w:t xml:space="preserve"> and others </w:t>
      </w:r>
      <w:r w:rsidR="00A10558">
        <w:t xml:space="preserve">may be </w:t>
      </w:r>
      <w:r w:rsidRPr="008D7152">
        <w:t>accessed through</w:t>
      </w:r>
      <w:r w:rsidR="00187557">
        <w:t xml:space="preserve"> </w:t>
      </w:r>
      <w:r w:rsidR="003E4139">
        <w:t xml:space="preserve">external organizations such as </w:t>
      </w:r>
      <w:r w:rsidR="009650D9">
        <w:t>a</w:t>
      </w:r>
      <w:r w:rsidR="008314E3">
        <w:t xml:space="preserve"> </w:t>
      </w:r>
      <w:r w:rsidR="00776E44">
        <w:t>Medi-Cal managed care plan (MCP)</w:t>
      </w:r>
      <w:r w:rsidR="008314E3">
        <w:t xml:space="preserve">, a backbone organization (e.g., </w:t>
      </w:r>
      <w:r w:rsidR="005D7A78">
        <w:t>accountable care organization</w:t>
      </w:r>
      <w:r w:rsidR="003E4139">
        <w:t xml:space="preserve">), an Independent </w:t>
      </w:r>
      <w:r w:rsidR="00471DF2">
        <w:t>P</w:t>
      </w:r>
      <w:r w:rsidR="004657D4">
        <w:t>r</w:t>
      </w:r>
      <w:r w:rsidR="00D92A20">
        <w:t>actice</w:t>
      </w:r>
      <w:r w:rsidR="003E4139">
        <w:t xml:space="preserve"> Association</w:t>
      </w:r>
      <w:r w:rsidR="00BC6CE8">
        <w:t xml:space="preserve"> (IPA)</w:t>
      </w:r>
      <w:r w:rsidR="003E4139">
        <w:t xml:space="preserve">, </w:t>
      </w:r>
      <w:r w:rsidR="00567DDB">
        <w:t xml:space="preserve">or </w:t>
      </w:r>
      <w:r w:rsidR="00187557">
        <w:t xml:space="preserve">a </w:t>
      </w:r>
      <w:r w:rsidR="004657D4">
        <w:t>Health C</w:t>
      </w:r>
      <w:r w:rsidR="00567DDB">
        <w:t xml:space="preserve">enter Controlled Network (HCCN). </w:t>
      </w:r>
    </w:p>
    <w:p w:rsidR="001563C3" w:rsidP="008D7152" w:rsidRDefault="00A374B7" w14:paraId="59AAB302" w14:textId="4AD8B14A">
      <w:pPr>
        <w:pStyle w:val="NormalWeb"/>
        <w:rPr>
          <w:rFonts w:asciiTheme="minorHAnsi" w:hAnsiTheme="minorHAnsi"/>
        </w:rPr>
      </w:pPr>
      <w:r w:rsidRPr="008D7152">
        <w:rPr>
          <w:rFonts w:asciiTheme="minorHAnsi" w:hAnsiTheme="minorHAnsi"/>
        </w:rPr>
        <w:t xml:space="preserve">Different </w:t>
      </w:r>
      <w:r w:rsidR="005D7A78">
        <w:rPr>
          <w:rFonts w:asciiTheme="minorHAnsi" w:hAnsiTheme="minorHAnsi"/>
        </w:rPr>
        <w:t xml:space="preserve">VBP </w:t>
      </w:r>
      <w:r w:rsidRPr="008D7152">
        <w:rPr>
          <w:rFonts w:asciiTheme="minorHAnsi" w:hAnsiTheme="minorHAnsi"/>
        </w:rPr>
        <w:t xml:space="preserve">models require different organizational capabilities. </w:t>
      </w:r>
      <w:proofErr w:type="spellStart"/>
      <w:r w:rsidR="000F394D">
        <w:rPr>
          <w:rFonts w:asciiTheme="minorHAnsi" w:hAnsiTheme="minorHAnsi"/>
        </w:rPr>
        <w:t>VaPCAT</w:t>
      </w:r>
      <w:proofErr w:type="spellEnd"/>
      <w:r w:rsidRPr="008D7152" w:rsidR="008D715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</w:t>
      </w:r>
      <w:r w:rsidRPr="008D7152" w:rsidR="008D7152">
        <w:rPr>
          <w:rFonts w:asciiTheme="minorHAnsi" w:hAnsiTheme="minorHAnsi"/>
        </w:rPr>
        <w:t>tems marked with an</w:t>
      </w:r>
      <w:r w:rsidR="001563C3">
        <w:rPr>
          <w:rFonts w:asciiTheme="minorHAnsi" w:hAnsiTheme="minorHAnsi"/>
        </w:rPr>
        <w:t xml:space="preserve"> asterisk (</w:t>
      </w:r>
      <w:r w:rsidRPr="008D7152" w:rsidR="008D7152">
        <w:rPr>
          <w:rFonts w:asciiTheme="minorHAnsi" w:hAnsiTheme="minorHAnsi"/>
        </w:rPr>
        <w:t>*</w:t>
      </w:r>
      <w:r w:rsidR="001563C3">
        <w:rPr>
          <w:rFonts w:asciiTheme="minorHAnsi" w:hAnsiTheme="minorHAnsi"/>
        </w:rPr>
        <w:t>)</w:t>
      </w:r>
      <w:r w:rsidRPr="008D7152" w:rsidR="008D7152">
        <w:rPr>
          <w:rFonts w:asciiTheme="minorHAnsi" w:hAnsiTheme="minorHAnsi"/>
        </w:rPr>
        <w:t xml:space="preserve"> are most relevant to large practices or </w:t>
      </w:r>
      <w:r w:rsidR="001F75DA">
        <w:rPr>
          <w:rFonts w:asciiTheme="minorHAnsi" w:hAnsiTheme="minorHAnsi"/>
        </w:rPr>
        <w:t>A</w:t>
      </w:r>
      <w:r w:rsidRPr="008D7152" w:rsidR="008D7152">
        <w:rPr>
          <w:rFonts w:asciiTheme="minorHAnsi" w:hAnsiTheme="minorHAnsi"/>
        </w:rPr>
        <w:t xml:space="preserve">ccountable </w:t>
      </w:r>
      <w:r w:rsidR="001F75DA">
        <w:rPr>
          <w:rFonts w:asciiTheme="minorHAnsi" w:hAnsiTheme="minorHAnsi"/>
        </w:rPr>
        <w:t>C</w:t>
      </w:r>
      <w:r w:rsidRPr="008D7152" w:rsidR="008D7152">
        <w:rPr>
          <w:rFonts w:asciiTheme="minorHAnsi" w:hAnsiTheme="minorHAnsi"/>
        </w:rPr>
        <w:t xml:space="preserve">are </w:t>
      </w:r>
      <w:r w:rsidR="001F75DA">
        <w:rPr>
          <w:rFonts w:asciiTheme="minorHAnsi" w:hAnsiTheme="minorHAnsi"/>
        </w:rPr>
        <w:t>E</w:t>
      </w:r>
      <w:r w:rsidRPr="008D7152" w:rsidR="008D7152">
        <w:rPr>
          <w:rFonts w:asciiTheme="minorHAnsi" w:hAnsiTheme="minorHAnsi"/>
        </w:rPr>
        <w:t xml:space="preserve">ntities </w:t>
      </w:r>
      <w:r w:rsidR="001F75DA">
        <w:rPr>
          <w:rFonts w:asciiTheme="minorHAnsi" w:hAnsiTheme="minorHAnsi"/>
        </w:rPr>
        <w:t xml:space="preserve">(ACE) </w:t>
      </w:r>
      <w:r w:rsidRPr="008D7152" w:rsidR="008D7152">
        <w:rPr>
          <w:rFonts w:asciiTheme="minorHAnsi" w:hAnsiTheme="minorHAnsi"/>
        </w:rPr>
        <w:t>participating in advanced VBP models.</w:t>
      </w:r>
      <w:r w:rsidR="00A07D74">
        <w:rPr>
          <w:rStyle w:val="FootnoteReference"/>
          <w:rFonts w:asciiTheme="minorHAnsi" w:hAnsiTheme="minorHAnsi"/>
        </w:rPr>
        <w:footnoteReference w:id="2"/>
      </w:r>
      <w:r w:rsidRPr="00A374B7">
        <w:rPr>
          <w:rFonts w:asciiTheme="minorHAnsi" w:hAnsiTheme="minorHAnsi"/>
        </w:rPr>
        <w:t xml:space="preserve"> </w:t>
      </w:r>
      <w:r w:rsidRPr="001F75DA" w:rsidR="009B1309">
        <w:rPr>
          <w:rFonts w:asciiTheme="minorHAnsi" w:hAnsiTheme="minorHAnsi"/>
        </w:rPr>
        <w:t>Thus</w:t>
      </w:r>
      <w:r w:rsidR="009B1309">
        <w:rPr>
          <w:rFonts w:asciiTheme="minorHAnsi" w:hAnsiTheme="minorHAnsi"/>
        </w:rPr>
        <w:t>, n</w:t>
      </w:r>
      <w:r>
        <w:rPr>
          <w:rFonts w:asciiTheme="minorHAnsi" w:hAnsiTheme="minorHAnsi"/>
        </w:rPr>
        <w:t>ot</w:t>
      </w:r>
      <w:r w:rsidRPr="008D7152">
        <w:rPr>
          <w:rFonts w:asciiTheme="minorHAnsi" w:hAnsiTheme="minorHAnsi"/>
        </w:rPr>
        <w:t xml:space="preserve"> all</w:t>
      </w:r>
      <w:r>
        <w:rPr>
          <w:rFonts w:asciiTheme="minorHAnsi" w:hAnsiTheme="minorHAnsi"/>
        </w:rPr>
        <w:t xml:space="preserve"> </w:t>
      </w:r>
      <w:r w:rsidRPr="008D7152">
        <w:rPr>
          <w:rFonts w:asciiTheme="minorHAnsi" w:hAnsiTheme="minorHAnsi"/>
        </w:rPr>
        <w:t>capabilities in</w:t>
      </w:r>
      <w:r w:rsidR="009B1309">
        <w:rPr>
          <w:rFonts w:asciiTheme="minorHAnsi" w:hAnsiTheme="minorHAnsi"/>
        </w:rPr>
        <w:t>cluded within</w:t>
      </w:r>
      <w:r w:rsidRPr="008D7152">
        <w:rPr>
          <w:rFonts w:asciiTheme="minorHAnsi" w:hAnsiTheme="minorHAnsi"/>
        </w:rPr>
        <w:t xml:space="preserve"> the </w:t>
      </w:r>
      <w:proofErr w:type="spellStart"/>
      <w:r w:rsidRPr="008D7152">
        <w:rPr>
          <w:rFonts w:asciiTheme="minorHAnsi" w:hAnsiTheme="minorHAnsi"/>
        </w:rPr>
        <w:t>VaPCAT</w:t>
      </w:r>
      <w:proofErr w:type="spellEnd"/>
      <w:r w:rsidRPr="008D7152">
        <w:rPr>
          <w:rFonts w:asciiTheme="minorHAnsi" w:hAnsiTheme="minorHAnsi"/>
        </w:rPr>
        <w:t xml:space="preserve"> </w:t>
      </w:r>
      <w:r w:rsidR="009B1309">
        <w:rPr>
          <w:rFonts w:asciiTheme="minorHAnsi" w:hAnsiTheme="minorHAnsi"/>
        </w:rPr>
        <w:t xml:space="preserve">are relevant for all EPT practices. </w:t>
      </w:r>
      <w:r w:rsidR="00A07D74">
        <w:rPr>
          <w:rFonts w:asciiTheme="minorHAnsi" w:hAnsiTheme="minorHAnsi"/>
        </w:rPr>
        <w:t xml:space="preserve">This means that while practices will respond to all questions in the </w:t>
      </w:r>
      <w:proofErr w:type="spellStart"/>
      <w:r w:rsidR="00A07D74">
        <w:rPr>
          <w:rFonts w:asciiTheme="minorHAnsi" w:hAnsiTheme="minorHAnsi"/>
        </w:rPr>
        <w:t>VaPCAT</w:t>
      </w:r>
      <w:proofErr w:type="spellEnd"/>
      <w:r w:rsidR="00A07D74">
        <w:rPr>
          <w:rFonts w:asciiTheme="minorHAnsi" w:hAnsiTheme="minorHAnsi"/>
        </w:rPr>
        <w:t xml:space="preserve">, smaller practices and clinics are more likely to have gaps in items with an asterisk and may not </w:t>
      </w:r>
      <w:r w:rsidR="009650D9">
        <w:rPr>
          <w:rFonts w:asciiTheme="minorHAnsi" w:hAnsiTheme="minorHAnsi"/>
        </w:rPr>
        <w:t xml:space="preserve">choose to </w:t>
      </w:r>
      <w:r w:rsidR="00A07D74">
        <w:rPr>
          <w:rFonts w:asciiTheme="minorHAnsi" w:hAnsiTheme="minorHAnsi"/>
        </w:rPr>
        <w:t>prioritize these items for capability-building work</w:t>
      </w:r>
      <w:r w:rsidR="00D92A20">
        <w:rPr>
          <w:rFonts w:asciiTheme="minorHAnsi" w:hAnsiTheme="minorHAnsi"/>
        </w:rPr>
        <w:t xml:space="preserve"> reflected in the </w:t>
      </w:r>
      <w:r w:rsidRPr="2F627E18" w:rsidR="669B9684">
        <w:rPr>
          <w:rFonts w:asciiTheme="minorHAnsi" w:hAnsiTheme="minorHAnsi"/>
        </w:rPr>
        <w:t>a</w:t>
      </w:r>
      <w:r w:rsidRPr="2F627E18" w:rsidR="00D92A20">
        <w:rPr>
          <w:rFonts w:asciiTheme="minorHAnsi" w:hAnsiTheme="minorHAnsi"/>
        </w:rPr>
        <w:t xml:space="preserve">ction </w:t>
      </w:r>
      <w:r w:rsidRPr="2F627E18" w:rsidR="0767D0D6">
        <w:rPr>
          <w:rFonts w:asciiTheme="minorHAnsi" w:hAnsiTheme="minorHAnsi"/>
        </w:rPr>
        <w:t>p</w:t>
      </w:r>
      <w:r w:rsidRPr="2F627E18" w:rsidR="00D92A20">
        <w:rPr>
          <w:rFonts w:asciiTheme="minorHAnsi" w:hAnsiTheme="minorHAnsi"/>
        </w:rPr>
        <w:t>lan</w:t>
      </w:r>
      <w:r w:rsidRPr="2F627E18" w:rsidR="00A07D74">
        <w:rPr>
          <w:rFonts w:asciiTheme="minorHAnsi" w:hAnsiTheme="minorHAnsi"/>
        </w:rPr>
        <w:t xml:space="preserve">. </w:t>
      </w:r>
    </w:p>
    <w:p w:rsidRPr="008D7152" w:rsidR="008D7152" w:rsidP="008D7152" w:rsidRDefault="00462859" w14:paraId="100E82EF" w14:textId="7C676F40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EPT practices can find examples of foundational capabilities for VBP readiness in Appendix 1</w:t>
      </w:r>
      <w:r w:rsidR="00466EF0">
        <w:rPr>
          <w:rFonts w:asciiTheme="minorHAnsi" w:hAnsiTheme="minorHAnsi"/>
        </w:rPr>
        <w:t xml:space="preserve">, as well as in the </w:t>
      </w:r>
      <w:hyperlink w:history="1" r:id="rId13">
        <w:r w:rsidRPr="00BD7E51" w:rsidR="00466EF0">
          <w:rPr>
            <w:rStyle w:val="Hyperlink"/>
            <w:rFonts w:asciiTheme="minorHAnsi" w:hAnsiTheme="minorHAnsi"/>
          </w:rPr>
          <w:t>February 2026 Value Based Payment Learning Community slides</w:t>
        </w:r>
      </w:hyperlink>
      <w:r w:rsidR="00466EF0">
        <w:rPr>
          <w:rFonts w:asciiTheme="minorHAnsi" w:hAnsiTheme="minorHAnsi"/>
        </w:rPr>
        <w:t>. Th</w:t>
      </w:r>
      <w:r w:rsidR="00BD7E51">
        <w:rPr>
          <w:rFonts w:asciiTheme="minorHAnsi" w:hAnsiTheme="minorHAnsi"/>
        </w:rPr>
        <w:t xml:space="preserve">ese resources are provided to </w:t>
      </w:r>
      <w:r w:rsidR="00466EF0">
        <w:rPr>
          <w:rFonts w:asciiTheme="minorHAnsi" w:hAnsiTheme="minorHAnsi"/>
        </w:rPr>
        <w:t>assist EPT practices</w:t>
      </w:r>
      <w:r w:rsidR="00BD7E51">
        <w:rPr>
          <w:rFonts w:asciiTheme="minorHAnsi" w:hAnsiTheme="minorHAnsi"/>
        </w:rPr>
        <w:t xml:space="preserve"> to identify examples of capabilities that could be improved as part of this deliverable.  </w:t>
      </w:r>
    </w:p>
    <w:p w:rsidR="004A3FA2" w:rsidP="006357CD" w:rsidRDefault="00C539C7" w14:paraId="0AF762F3" w14:textId="160407B9">
      <w:r>
        <w:t xml:space="preserve">Practices should complete the </w:t>
      </w:r>
      <w:r w:rsidR="00834173">
        <w:t xml:space="preserve">gap analysis </w:t>
      </w:r>
      <w:r>
        <w:t>chart</w:t>
      </w:r>
      <w:r w:rsidR="00BD7E51">
        <w:t xml:space="preserve"> below</w:t>
      </w:r>
      <w:r>
        <w:t xml:space="preserve"> </w:t>
      </w:r>
      <w:r w:rsidR="000874ED">
        <w:t xml:space="preserve">to identify </w:t>
      </w:r>
      <w:r w:rsidR="00BD7E51">
        <w:t xml:space="preserve">gaps in </w:t>
      </w:r>
      <w:r w:rsidR="000874ED">
        <w:t>VBP capabilities</w:t>
      </w:r>
      <w:r w:rsidR="00714E56">
        <w:t xml:space="preserve">. </w:t>
      </w:r>
      <w:r w:rsidR="00D92A20">
        <w:t>Using the table, p</w:t>
      </w:r>
      <w:r w:rsidR="004A3FA2">
        <w:t>ractices should indicate:</w:t>
      </w:r>
    </w:p>
    <w:p w:rsidR="00DD591C" w:rsidP="000E14D7" w:rsidRDefault="004B68DA" w14:paraId="107167A0" w14:textId="29A2CFC7">
      <w:pPr>
        <w:pStyle w:val="ListParagraph"/>
        <w:numPr>
          <w:ilvl w:val="0"/>
          <w:numId w:val="2"/>
        </w:numPr>
      </w:pPr>
      <w:r>
        <w:t xml:space="preserve">Current </w:t>
      </w:r>
      <w:r w:rsidR="00DD591C">
        <w:t>S</w:t>
      </w:r>
      <w:r>
        <w:t xml:space="preserve">tate: </w:t>
      </w:r>
      <w:r w:rsidR="00DD591C">
        <w:t>Briefly describe t</w:t>
      </w:r>
      <w:r w:rsidR="00D412DE">
        <w:t>he current state at</w:t>
      </w:r>
      <w:r w:rsidR="001B1F78">
        <w:t xml:space="preserve"> your EPT practice</w:t>
      </w:r>
      <w:r w:rsidR="009650D9">
        <w:t xml:space="preserve"> (e</w:t>
      </w:r>
      <w:r w:rsidR="00843AAB">
        <w:t>.</w:t>
      </w:r>
      <w:r w:rsidR="009650D9">
        <w:t>g., w</w:t>
      </w:r>
      <w:r w:rsidR="001B1F78">
        <w:t xml:space="preserve">hat you do now </w:t>
      </w:r>
      <w:r w:rsidR="009650D9">
        <w:t>in the</w:t>
      </w:r>
      <w:r w:rsidR="001B1F78">
        <w:t xml:space="preserve"> </w:t>
      </w:r>
      <w:r w:rsidR="00ED15F9">
        <w:t>VBP domain</w:t>
      </w:r>
      <w:r w:rsidR="009650D9">
        <w:t>)</w:t>
      </w:r>
      <w:r w:rsidR="2949B9C4">
        <w:t>.</w:t>
      </w:r>
      <w:r w:rsidR="00D412DE">
        <w:t xml:space="preserve"> </w:t>
      </w:r>
    </w:p>
    <w:p w:rsidR="00C539C7" w:rsidP="000E14D7" w:rsidRDefault="004B68DA" w14:paraId="4F2B4781" w14:textId="7DBBE4E9">
      <w:pPr>
        <w:pStyle w:val="ListParagraph"/>
        <w:numPr>
          <w:ilvl w:val="0"/>
          <w:numId w:val="2"/>
        </w:numPr>
      </w:pPr>
      <w:r>
        <w:t>VBP</w:t>
      </w:r>
      <w:r w:rsidR="003D54DC">
        <w:t xml:space="preserve"> Domain</w:t>
      </w:r>
      <w:r w:rsidR="00445464">
        <w:t xml:space="preserve"> Maturity</w:t>
      </w:r>
      <w:r>
        <w:t xml:space="preserve">: </w:t>
      </w:r>
      <w:r w:rsidR="004C32AC">
        <w:t xml:space="preserve">Use your </w:t>
      </w:r>
      <w:proofErr w:type="spellStart"/>
      <w:r w:rsidR="00ED15F9">
        <w:t>VaPCAT</w:t>
      </w:r>
      <w:proofErr w:type="spellEnd"/>
      <w:r w:rsidR="00ED15F9">
        <w:t xml:space="preserve"> results</w:t>
      </w:r>
      <w:r w:rsidR="004C32AC">
        <w:t xml:space="preserve"> to reflect the degree to which capabilities are</w:t>
      </w:r>
      <w:r w:rsidR="006422ED">
        <w:t xml:space="preserve"> in place at your practice</w:t>
      </w:r>
      <w:r w:rsidR="003D54DC">
        <w:t xml:space="preserve"> across the domain (whether built internally or provided via partner organization).</w:t>
      </w:r>
      <w:r w:rsidR="009650D9">
        <w:t xml:space="preserve"> Using the following 0 – 5 scale, </w:t>
      </w:r>
      <w:r w:rsidR="006422ED">
        <w:t xml:space="preserve">which rating </w:t>
      </w:r>
      <w:r w:rsidRPr="00843AAB" w:rsidR="006422ED">
        <w:rPr>
          <w:b/>
          <w:bCs/>
        </w:rPr>
        <w:t>best</w:t>
      </w:r>
      <w:r w:rsidR="006422ED">
        <w:t xml:space="preserve"> reflects what your </w:t>
      </w:r>
      <w:r w:rsidR="00D92A20">
        <w:t>practice</w:t>
      </w:r>
      <w:r w:rsidR="006422ED">
        <w:t xml:space="preserve"> has in place</w:t>
      </w:r>
      <w:r w:rsidR="004C32AC">
        <w:t>:</w:t>
      </w:r>
    </w:p>
    <w:p w:rsidR="004C32AC" w:rsidP="000E14D7" w:rsidRDefault="004C32AC" w14:paraId="29BB2994" w14:textId="7E4B7AB3">
      <w:pPr>
        <w:pStyle w:val="ListParagraph"/>
        <w:numPr>
          <w:ilvl w:val="1"/>
          <w:numId w:val="2"/>
        </w:numPr>
      </w:pPr>
      <w:r>
        <w:t>0 = No</w:t>
      </w:r>
      <w:r w:rsidR="009650D9">
        <w:t xml:space="preserve"> capabilities in this domain are </w:t>
      </w:r>
      <w:r>
        <w:t>in place at our practice</w:t>
      </w:r>
    </w:p>
    <w:p w:rsidR="004C32AC" w:rsidP="000E14D7" w:rsidRDefault="004C32AC" w14:paraId="0EE3F222" w14:textId="1D868E43">
      <w:pPr>
        <w:pStyle w:val="ListParagraph"/>
        <w:numPr>
          <w:ilvl w:val="1"/>
          <w:numId w:val="2"/>
        </w:numPr>
      </w:pPr>
      <w:r>
        <w:t xml:space="preserve">1 = We have minimal </w:t>
      </w:r>
      <w:r w:rsidR="006422ED">
        <w:t>components of a few elements in place</w:t>
      </w:r>
    </w:p>
    <w:p w:rsidR="006422ED" w:rsidP="000E14D7" w:rsidRDefault="006422ED" w14:paraId="7D6CE197" w14:textId="75F832AD">
      <w:pPr>
        <w:pStyle w:val="ListParagraph"/>
        <w:numPr>
          <w:ilvl w:val="1"/>
          <w:numId w:val="2"/>
        </w:numPr>
      </w:pPr>
      <w:r>
        <w:t>2 = We have minimal components of most</w:t>
      </w:r>
      <w:r w:rsidR="003D54DC">
        <w:t>/all</w:t>
      </w:r>
      <w:r>
        <w:t xml:space="preserve"> elements in place</w:t>
      </w:r>
    </w:p>
    <w:p w:rsidR="006422ED" w:rsidP="000E14D7" w:rsidRDefault="006422ED" w14:paraId="311B7354" w14:textId="550FAB92">
      <w:pPr>
        <w:pStyle w:val="ListParagraph"/>
        <w:numPr>
          <w:ilvl w:val="1"/>
          <w:numId w:val="2"/>
        </w:numPr>
      </w:pPr>
      <w:r>
        <w:t>3 = At least one element is an area of strength and we have minimal components of other elements</w:t>
      </w:r>
    </w:p>
    <w:p w:rsidR="006422ED" w:rsidP="000E14D7" w:rsidRDefault="006422ED" w14:paraId="03916EE0" w14:textId="6C5DB413">
      <w:pPr>
        <w:pStyle w:val="ListParagraph"/>
        <w:numPr>
          <w:ilvl w:val="1"/>
          <w:numId w:val="2"/>
        </w:numPr>
      </w:pPr>
      <w:r>
        <w:t xml:space="preserve">4 = Several components are an area of strength </w:t>
      </w:r>
    </w:p>
    <w:p w:rsidR="006422ED" w:rsidP="000E14D7" w:rsidRDefault="006422ED" w14:paraId="12AB4909" w14:textId="36BC0416">
      <w:pPr>
        <w:pStyle w:val="ListParagraph"/>
        <w:numPr>
          <w:ilvl w:val="1"/>
          <w:numId w:val="2"/>
        </w:numPr>
      </w:pPr>
      <w:r>
        <w:t>5 = Most</w:t>
      </w:r>
      <w:r w:rsidR="00A07D74">
        <w:t>/all</w:t>
      </w:r>
      <w:r>
        <w:t xml:space="preserve"> components are an area of strength</w:t>
      </w:r>
    </w:p>
    <w:p w:rsidR="001C3B5A" w:rsidP="000E14D7" w:rsidRDefault="00445464" w14:paraId="5C4A85AC" w14:textId="126D1857">
      <w:pPr>
        <w:pStyle w:val="ListParagraph"/>
        <w:numPr>
          <w:ilvl w:val="0"/>
          <w:numId w:val="2"/>
        </w:numPr>
      </w:pPr>
      <w:r>
        <w:t>Capability Gaps/Weaknesses</w:t>
      </w:r>
      <w:r w:rsidR="00D92A20">
        <w:t xml:space="preserve">: </w:t>
      </w:r>
      <w:r w:rsidR="00FB1BBA">
        <w:t>List</w:t>
      </w:r>
      <w:r w:rsidR="00763C47">
        <w:t xml:space="preserve"> the most significant gaps in the domain in your practice</w:t>
      </w:r>
      <w:r w:rsidR="00FB1BBA">
        <w:t>.</w:t>
      </w:r>
      <w:r w:rsidR="00763C47">
        <w:t xml:space="preserve"> </w:t>
      </w:r>
    </w:p>
    <w:p w:rsidRPr="006422ED" w:rsidR="00AC3B6A" w:rsidP="000E14D7" w:rsidRDefault="004B68DA" w14:paraId="0B84BBF8" w14:textId="69AA0372">
      <w:pPr>
        <w:pStyle w:val="ListParagraph"/>
        <w:numPr>
          <w:ilvl w:val="0"/>
          <w:numId w:val="2"/>
        </w:numPr>
        <w:spacing w:after="0"/>
        <w:ind w:left="778"/>
      </w:pPr>
      <w:r w:rsidRPr="006422ED">
        <w:t>Priority</w:t>
      </w:r>
      <w:r w:rsidR="008B3B32">
        <w:t xml:space="preserve"> for Action</w:t>
      </w:r>
      <w:r w:rsidRPr="006422ED">
        <w:t xml:space="preserve">: </w:t>
      </w:r>
      <w:r w:rsidRPr="006422ED" w:rsidR="00AC3B6A">
        <w:t xml:space="preserve">Indicate </w:t>
      </w:r>
      <w:r w:rsidR="009650D9">
        <w:t>your practice’s</w:t>
      </w:r>
      <w:r w:rsidR="00C40464">
        <w:t xml:space="preserve"> priority </w:t>
      </w:r>
      <w:r w:rsidR="009650D9">
        <w:t>for</w:t>
      </w:r>
      <w:r w:rsidR="00C40464">
        <w:t xml:space="preserve"> building capabilities in this domain</w:t>
      </w:r>
      <w:r w:rsidR="001B07AD">
        <w:t>, using</w:t>
      </w:r>
      <w:r w:rsidRPr="006422ED" w:rsidR="006422ED">
        <w:t xml:space="preserve"> the following scale: </w:t>
      </w:r>
    </w:p>
    <w:p w:rsidRPr="00DD591C" w:rsidR="006422ED" w:rsidP="00A2619C" w:rsidRDefault="006422ED" w14:paraId="278BA72B" w14:textId="2E42A602">
      <w:pPr>
        <w:pStyle w:val="NormalWeb"/>
        <w:numPr>
          <w:ilvl w:val="1"/>
          <w:numId w:val="13"/>
        </w:numPr>
        <w:spacing w:before="0" w:beforeAutospacing="0"/>
        <w:rPr>
          <w:rFonts w:asciiTheme="minorHAnsi" w:hAnsiTheme="minorHAnsi"/>
        </w:rPr>
      </w:pPr>
      <w:r w:rsidRPr="00DD591C">
        <w:rPr>
          <w:rStyle w:val="Strong"/>
          <w:rFonts w:asciiTheme="minorHAnsi" w:hAnsiTheme="minorHAnsi" w:eastAsiaTheme="majorEastAsia"/>
          <w:b w:val="0"/>
          <w:bCs w:val="0"/>
        </w:rPr>
        <w:t>High</w:t>
      </w:r>
      <w:r w:rsidRPr="00DD591C">
        <w:rPr>
          <w:rFonts w:asciiTheme="minorHAnsi" w:hAnsiTheme="minorHAnsi"/>
        </w:rPr>
        <w:t xml:space="preserve"> = </w:t>
      </w:r>
      <w:r w:rsidR="009650D9">
        <w:rPr>
          <w:rFonts w:asciiTheme="minorHAnsi" w:hAnsiTheme="minorHAnsi"/>
        </w:rPr>
        <w:t>This is very important to us; existing gaps ma</w:t>
      </w:r>
      <w:r w:rsidRPr="00DD591C">
        <w:rPr>
          <w:rFonts w:asciiTheme="minorHAnsi" w:hAnsiTheme="minorHAnsi"/>
        </w:rPr>
        <w:t>terially limit near-term participation or success in VBP</w:t>
      </w:r>
    </w:p>
    <w:p w:rsidRPr="00DD591C" w:rsidR="006422ED" w:rsidP="00A2619C" w:rsidRDefault="006422ED" w14:paraId="3398E1EE" w14:textId="330399E0">
      <w:pPr>
        <w:pStyle w:val="NormalWeb"/>
        <w:numPr>
          <w:ilvl w:val="1"/>
          <w:numId w:val="13"/>
        </w:numPr>
        <w:rPr>
          <w:rFonts w:asciiTheme="minorHAnsi" w:hAnsiTheme="minorHAnsi"/>
        </w:rPr>
      </w:pPr>
      <w:r w:rsidRPr="00DD591C">
        <w:rPr>
          <w:rStyle w:val="Strong"/>
          <w:rFonts w:asciiTheme="minorHAnsi" w:hAnsiTheme="minorHAnsi" w:eastAsiaTheme="majorEastAsia"/>
          <w:b w:val="0"/>
          <w:bCs w:val="0"/>
        </w:rPr>
        <w:t>Medium</w:t>
      </w:r>
      <w:r w:rsidRPr="00DD591C">
        <w:rPr>
          <w:rFonts w:asciiTheme="minorHAnsi" w:hAnsiTheme="minorHAnsi"/>
        </w:rPr>
        <w:t xml:space="preserve"> =</w:t>
      </w:r>
      <w:r w:rsidR="006B3F56">
        <w:rPr>
          <w:rFonts w:asciiTheme="minorHAnsi" w:hAnsiTheme="minorHAnsi"/>
        </w:rPr>
        <w:t xml:space="preserve"> </w:t>
      </w:r>
      <w:r w:rsidR="009650D9">
        <w:rPr>
          <w:rFonts w:asciiTheme="minorHAnsi" w:hAnsiTheme="minorHAnsi"/>
        </w:rPr>
        <w:t xml:space="preserve">This is important to us to optimize our performance </w:t>
      </w:r>
      <w:r w:rsidRPr="00DD591C">
        <w:rPr>
          <w:rFonts w:asciiTheme="minorHAnsi" w:hAnsiTheme="minorHAnsi"/>
        </w:rPr>
        <w:t xml:space="preserve">but </w:t>
      </w:r>
      <w:r w:rsidR="009650D9">
        <w:rPr>
          <w:rFonts w:asciiTheme="minorHAnsi" w:hAnsiTheme="minorHAnsi"/>
        </w:rPr>
        <w:t xml:space="preserve">it’s </w:t>
      </w:r>
      <w:r w:rsidRPr="00DD591C">
        <w:rPr>
          <w:rFonts w:asciiTheme="minorHAnsi" w:hAnsiTheme="minorHAnsi"/>
        </w:rPr>
        <w:t>not an immediate barrier</w:t>
      </w:r>
      <w:r w:rsidR="00DD591C">
        <w:rPr>
          <w:rFonts w:asciiTheme="minorHAnsi" w:hAnsiTheme="minorHAnsi"/>
        </w:rPr>
        <w:t xml:space="preserve"> for participation</w:t>
      </w:r>
    </w:p>
    <w:p w:rsidR="006422ED" w:rsidP="00A2619C" w:rsidRDefault="006422ED" w14:paraId="0B2041FA" w14:textId="7584265A">
      <w:pPr>
        <w:pStyle w:val="NormalWeb"/>
        <w:numPr>
          <w:ilvl w:val="1"/>
          <w:numId w:val="13"/>
        </w:numPr>
        <w:rPr>
          <w:rFonts w:asciiTheme="minorHAnsi" w:hAnsiTheme="minorHAnsi"/>
        </w:rPr>
      </w:pPr>
      <w:r w:rsidRPr="00DD591C">
        <w:rPr>
          <w:rStyle w:val="Strong"/>
          <w:rFonts w:asciiTheme="minorHAnsi" w:hAnsiTheme="minorHAnsi" w:eastAsiaTheme="majorEastAsia"/>
          <w:b w:val="0"/>
          <w:bCs w:val="0"/>
        </w:rPr>
        <w:t>Low</w:t>
      </w:r>
      <w:r w:rsidRPr="00DD591C">
        <w:rPr>
          <w:rFonts w:asciiTheme="minorHAnsi" w:hAnsiTheme="minorHAnsi"/>
        </w:rPr>
        <w:t xml:space="preserve"> =</w:t>
      </w:r>
      <w:r w:rsidR="009650D9">
        <w:rPr>
          <w:rFonts w:asciiTheme="minorHAnsi" w:hAnsiTheme="minorHAnsi"/>
        </w:rPr>
        <w:t xml:space="preserve"> This is less important to us either because it will take a very long time to build or we have already partially addressed gaps </w:t>
      </w:r>
    </w:p>
    <w:p w:rsidRPr="00DD591C" w:rsidR="00DD591C" w:rsidP="000E14D7" w:rsidRDefault="00DD591C" w14:paraId="13DD79B4" w14:textId="5841B6D5">
      <w:pPr>
        <w:pStyle w:val="NormalWeb"/>
        <w:numPr>
          <w:ilvl w:val="0"/>
          <w:numId w:val="10"/>
        </w:numPr>
        <w:rPr>
          <w:rFonts w:asciiTheme="minorHAnsi" w:hAnsiTheme="minorHAnsi"/>
        </w:rPr>
      </w:pPr>
      <w:r w:rsidRPr="00DD591C">
        <w:rPr>
          <w:rStyle w:val="Strong"/>
          <w:rFonts w:asciiTheme="minorHAnsi" w:hAnsiTheme="minorHAnsi" w:eastAsiaTheme="majorEastAsia"/>
          <w:b w:val="0"/>
          <w:bCs w:val="0"/>
        </w:rPr>
        <w:t xml:space="preserve">Rationale: </w:t>
      </w:r>
      <w:r w:rsidR="00C40464">
        <w:rPr>
          <w:rStyle w:val="Strong"/>
          <w:rFonts w:asciiTheme="minorHAnsi" w:hAnsiTheme="minorHAnsi" w:eastAsiaTheme="majorEastAsia"/>
          <w:b w:val="0"/>
          <w:bCs w:val="0"/>
        </w:rPr>
        <w:t xml:space="preserve">Describe the reasons for your high, medium or low priority rating. </w:t>
      </w:r>
    </w:p>
    <w:p w:rsidRPr="00080B7A" w:rsidR="00714E56" w:rsidP="00714E56" w:rsidRDefault="00714E56" w14:paraId="12BEAA4F" w14:textId="6C100130"/>
    <w:tbl>
      <w:tblPr>
        <w:tblStyle w:val="TableGrid"/>
        <w:tblW w:w="1412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505"/>
        <w:gridCol w:w="2124"/>
        <w:gridCol w:w="2124"/>
        <w:gridCol w:w="2124"/>
        <w:gridCol w:w="2124"/>
        <w:gridCol w:w="2124"/>
      </w:tblGrid>
      <w:tr w:rsidR="00DD591C" w:rsidTr="00DD591C" w14:paraId="308FD7AB" w14:textId="220EF896">
        <w:trPr>
          <w:trHeight w:val="422"/>
          <w:tblHeader/>
        </w:trPr>
        <w:tc>
          <w:tcPr>
            <w:tcW w:w="14125" w:type="dxa"/>
            <w:gridSpan w:val="6"/>
            <w:shd w:val="clear" w:color="auto" w:fill="0B769F" w:themeFill="accent4" w:themeFillShade="BF"/>
          </w:tcPr>
          <w:p w:rsidR="00DD591C" w:rsidP="001C6C32" w:rsidRDefault="00DD591C" w14:paraId="33635913" w14:textId="68854793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VBP </w:t>
            </w:r>
            <w:r w:rsidRPr="00282AC8">
              <w:rPr>
                <w:b/>
                <w:bCs/>
                <w:color w:val="FFFFFF"/>
              </w:rPr>
              <w:t xml:space="preserve">Gap </w:t>
            </w:r>
            <w:r>
              <w:rPr>
                <w:b/>
                <w:bCs/>
                <w:color w:val="FFFFFF"/>
              </w:rPr>
              <w:t>Analysis</w:t>
            </w:r>
          </w:p>
        </w:tc>
      </w:tr>
      <w:tr w:rsidR="00E6340E" w:rsidTr="00E6340E" w14:paraId="31402404" w14:textId="055D0BCB">
        <w:trPr>
          <w:trHeight w:val="543"/>
          <w:tblHeader/>
        </w:trPr>
        <w:tc>
          <w:tcPr>
            <w:tcW w:w="3505" w:type="dxa"/>
            <w:shd w:val="clear" w:color="auto" w:fill="CAEDFB" w:themeFill="accent4" w:themeFillTint="33"/>
          </w:tcPr>
          <w:p w:rsidR="00E6340E" w:rsidP="006357CD" w:rsidRDefault="00E6340E" w14:paraId="7A19F050" w14:textId="30D51FF5">
            <w:r w:rsidRPr="00A572B7">
              <w:rPr>
                <w:b/>
                <w:bCs/>
              </w:rPr>
              <w:t>Domains</w:t>
            </w:r>
            <w:r>
              <w:t xml:space="preserve"> </w:t>
            </w:r>
          </w:p>
        </w:tc>
        <w:tc>
          <w:tcPr>
            <w:tcW w:w="2124" w:type="dxa"/>
            <w:shd w:val="clear" w:color="auto" w:fill="CAEDFB" w:themeFill="accent4" w:themeFillTint="33"/>
          </w:tcPr>
          <w:p w:rsidR="00E6340E" w:rsidP="001C6C32" w:rsidRDefault="00E6340E" w14:paraId="38BAB835" w14:textId="7870A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Current State </w:t>
            </w:r>
            <w:r w:rsidRPr="00A07D74">
              <w:t>(brief description</w:t>
            </w:r>
            <w:r>
              <w:t xml:space="preserve"> of existing </w:t>
            </w:r>
            <w:r w:rsidR="00F77C12">
              <w:t>capabilities</w:t>
            </w:r>
            <w:r w:rsidRPr="00A07D74">
              <w:t>)</w:t>
            </w:r>
          </w:p>
        </w:tc>
        <w:tc>
          <w:tcPr>
            <w:tcW w:w="2124" w:type="dxa"/>
            <w:shd w:val="clear" w:color="auto" w:fill="CAEDFB" w:themeFill="accent4" w:themeFillTint="33"/>
          </w:tcPr>
          <w:p w:rsidR="00E6340E" w:rsidP="006422ED" w:rsidRDefault="00E6340E" w14:paraId="40057745" w14:textId="15CCC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VBP Domain</w:t>
            </w:r>
            <w:r w:rsidR="00445464">
              <w:rPr>
                <w:b/>
                <w:bCs/>
              </w:rPr>
              <w:t xml:space="preserve"> Maturity</w:t>
            </w:r>
            <w:r>
              <w:rPr>
                <w:b/>
                <w:bCs/>
              </w:rPr>
              <w:t xml:space="preserve"> </w:t>
            </w:r>
          </w:p>
          <w:p w:rsidRPr="00282AC8" w:rsidR="00E6340E" w:rsidP="006422ED" w:rsidRDefault="00E6340E" w14:paraId="502528EB" w14:textId="525B6509">
            <w:pPr>
              <w:jc w:val="center"/>
              <w:rPr>
                <w:b/>
                <w:bCs/>
              </w:rPr>
            </w:pPr>
            <w:r w:rsidRPr="00843AAB">
              <w:t>(scale of 0 – 5)</w:t>
            </w:r>
          </w:p>
        </w:tc>
        <w:tc>
          <w:tcPr>
            <w:tcW w:w="2124" w:type="dxa"/>
            <w:shd w:val="clear" w:color="auto" w:fill="CAEDFB" w:themeFill="accent4" w:themeFillTint="33"/>
          </w:tcPr>
          <w:p w:rsidRPr="00282AC8" w:rsidR="00E6340E" w:rsidP="001C6C32" w:rsidRDefault="0068325E" w14:paraId="3C9FA2F4" w14:textId="25208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Specific </w:t>
            </w:r>
            <w:r w:rsidR="00445464">
              <w:rPr>
                <w:b/>
                <w:bCs/>
              </w:rPr>
              <w:t>Capability G</w:t>
            </w:r>
            <w:r w:rsidR="00D92A20">
              <w:rPr>
                <w:b/>
                <w:bCs/>
              </w:rPr>
              <w:t>aps</w:t>
            </w:r>
          </w:p>
        </w:tc>
        <w:tc>
          <w:tcPr>
            <w:tcW w:w="2124" w:type="dxa"/>
            <w:shd w:val="clear" w:color="auto" w:fill="CAEDFB" w:themeFill="accent4" w:themeFillTint="33"/>
          </w:tcPr>
          <w:p w:rsidR="00E6340E" w:rsidP="001C6C32" w:rsidRDefault="00E6340E" w14:paraId="2664C0AC" w14:textId="29832C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Priority </w:t>
            </w:r>
            <w:r w:rsidR="008B3B32">
              <w:rPr>
                <w:b/>
                <w:bCs/>
              </w:rPr>
              <w:t>for Action</w:t>
            </w:r>
          </w:p>
          <w:p w:rsidRPr="00843AAB" w:rsidR="00E6340E" w:rsidP="001C6C32" w:rsidRDefault="00E6340E" w14:paraId="2456D523" w14:textId="672F8DEE">
            <w:pPr>
              <w:jc w:val="center"/>
            </w:pPr>
            <w:r w:rsidRPr="00843AAB">
              <w:t>(high, medium, low)</w:t>
            </w:r>
          </w:p>
        </w:tc>
        <w:tc>
          <w:tcPr>
            <w:tcW w:w="2124" w:type="dxa"/>
            <w:shd w:val="clear" w:color="auto" w:fill="CAEDFB" w:themeFill="accent4" w:themeFillTint="33"/>
          </w:tcPr>
          <w:p w:rsidR="00E6340E" w:rsidP="001C6C32" w:rsidRDefault="00E6340E" w14:paraId="5D9A0EB6" w14:textId="437070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Rationale</w:t>
            </w:r>
          </w:p>
        </w:tc>
      </w:tr>
      <w:tr w:rsidR="00E6340E" w:rsidTr="00E6340E" w14:paraId="447409EC" w14:textId="7A333D25">
        <w:trPr>
          <w:trHeight w:val="1008"/>
        </w:trPr>
        <w:tc>
          <w:tcPr>
            <w:tcW w:w="3505" w:type="dxa"/>
          </w:tcPr>
          <w:p w:rsidRPr="000F1A26" w:rsidR="00E6340E" w:rsidP="006357CD" w:rsidRDefault="00E6340E" w14:paraId="04B27BC2" w14:textId="346EAE24">
            <w:r w:rsidRPr="005D25B4">
              <w:rPr>
                <w:b/>
                <w:bCs/>
              </w:rPr>
              <w:t xml:space="preserve">Leadership, </w:t>
            </w:r>
            <w:r>
              <w:rPr>
                <w:b/>
                <w:bCs/>
              </w:rPr>
              <w:t>G</w:t>
            </w:r>
            <w:r w:rsidRPr="005D25B4">
              <w:rPr>
                <w:b/>
                <w:bCs/>
              </w:rPr>
              <w:t xml:space="preserve">overnance, and </w:t>
            </w:r>
            <w:r>
              <w:rPr>
                <w:b/>
                <w:bCs/>
              </w:rPr>
              <w:t>L</w:t>
            </w:r>
            <w:r w:rsidRPr="005D25B4">
              <w:rPr>
                <w:b/>
                <w:bCs/>
              </w:rPr>
              <w:t>egal</w:t>
            </w:r>
            <w:r>
              <w:t xml:space="preserve"> (e.g., </w:t>
            </w:r>
            <w:r w:rsidRPr="004818C1">
              <w:t>organizational alignment &amp; VBP implementation, governance &amp; oversight, and risk assessment</w:t>
            </w:r>
            <w:r>
              <w:t>)</w:t>
            </w:r>
          </w:p>
        </w:tc>
        <w:tc>
          <w:tcPr>
            <w:tcW w:w="2124" w:type="dxa"/>
          </w:tcPr>
          <w:p w:rsidR="00E6340E" w:rsidP="001C6C32" w:rsidRDefault="00E6340E" w14:paraId="325576DC" w14:textId="77777777">
            <w:pPr>
              <w:jc w:val="center"/>
            </w:pPr>
          </w:p>
        </w:tc>
        <w:tc>
          <w:tcPr>
            <w:tcW w:w="2124" w:type="dxa"/>
          </w:tcPr>
          <w:p w:rsidR="00E6340E" w:rsidP="001C6C32" w:rsidRDefault="00E6340E" w14:paraId="4E426DD5" w14:textId="6E3996A7">
            <w:pPr>
              <w:jc w:val="center"/>
            </w:pPr>
          </w:p>
        </w:tc>
        <w:tc>
          <w:tcPr>
            <w:tcW w:w="2124" w:type="dxa"/>
          </w:tcPr>
          <w:p w:rsidR="00E6340E" w:rsidP="00D01D9B" w:rsidRDefault="00E6340E" w14:paraId="657C7299" w14:textId="197CB071">
            <w:pPr>
              <w:jc w:val="center"/>
            </w:pPr>
          </w:p>
        </w:tc>
        <w:tc>
          <w:tcPr>
            <w:tcW w:w="2124" w:type="dxa"/>
          </w:tcPr>
          <w:p w:rsidR="00E6340E" w:rsidP="00D01D9B" w:rsidRDefault="00E6340E" w14:paraId="3E5CCE87" w14:textId="77777777">
            <w:pPr>
              <w:jc w:val="center"/>
            </w:pPr>
          </w:p>
        </w:tc>
        <w:tc>
          <w:tcPr>
            <w:tcW w:w="2124" w:type="dxa"/>
          </w:tcPr>
          <w:p w:rsidR="00E6340E" w:rsidP="00D01D9B" w:rsidRDefault="00E6340E" w14:paraId="1ABDBD43" w14:textId="77777777">
            <w:pPr>
              <w:jc w:val="center"/>
            </w:pPr>
          </w:p>
        </w:tc>
      </w:tr>
      <w:tr w:rsidR="00E6340E" w:rsidTr="00E6340E" w14:paraId="56D2775B" w14:textId="7C1280BD">
        <w:trPr>
          <w:trHeight w:val="445"/>
        </w:trPr>
        <w:tc>
          <w:tcPr>
            <w:tcW w:w="3505" w:type="dxa"/>
          </w:tcPr>
          <w:p w:rsidRPr="000F1A26" w:rsidR="00E6340E" w:rsidP="00F90C5D" w:rsidRDefault="00E6340E" w14:paraId="32AD76A8" w14:textId="6885E55D">
            <w:r w:rsidRPr="00D563AB">
              <w:rPr>
                <w:b/>
                <w:bCs/>
              </w:rPr>
              <w:t>Operations</w:t>
            </w:r>
            <w:r>
              <w:t xml:space="preserve"> (e.g., educate staff on VBP, dedicated staff responsible for and skilled in negotiating VBP contracts, care management approach, contracting/credentialing/grievance/utilization review functions) </w:t>
            </w:r>
          </w:p>
        </w:tc>
        <w:tc>
          <w:tcPr>
            <w:tcW w:w="2124" w:type="dxa"/>
          </w:tcPr>
          <w:p w:rsidR="00E6340E" w:rsidP="001C6C32" w:rsidRDefault="00E6340E" w14:paraId="6E042968" w14:textId="77777777">
            <w:pPr>
              <w:jc w:val="center"/>
            </w:pPr>
          </w:p>
        </w:tc>
        <w:tc>
          <w:tcPr>
            <w:tcW w:w="2124" w:type="dxa"/>
          </w:tcPr>
          <w:p w:rsidR="00E6340E" w:rsidP="001C6C32" w:rsidRDefault="00E6340E" w14:paraId="43ADCF4B" w14:textId="13BDA8DF">
            <w:pPr>
              <w:jc w:val="center"/>
            </w:pPr>
          </w:p>
        </w:tc>
        <w:tc>
          <w:tcPr>
            <w:tcW w:w="2124" w:type="dxa"/>
          </w:tcPr>
          <w:p w:rsidR="00E6340E" w:rsidP="00D01D9B" w:rsidRDefault="00E6340E" w14:paraId="7DF635ED" w14:textId="4D14292E">
            <w:pPr>
              <w:jc w:val="center"/>
            </w:pPr>
          </w:p>
        </w:tc>
        <w:tc>
          <w:tcPr>
            <w:tcW w:w="2124" w:type="dxa"/>
          </w:tcPr>
          <w:p w:rsidR="00E6340E" w:rsidP="00D01D9B" w:rsidRDefault="00E6340E" w14:paraId="381EF633" w14:textId="77777777">
            <w:pPr>
              <w:jc w:val="center"/>
            </w:pPr>
          </w:p>
        </w:tc>
        <w:tc>
          <w:tcPr>
            <w:tcW w:w="2124" w:type="dxa"/>
          </w:tcPr>
          <w:p w:rsidR="00E6340E" w:rsidP="00D01D9B" w:rsidRDefault="00E6340E" w14:paraId="6CE1C4D9" w14:textId="77777777">
            <w:pPr>
              <w:jc w:val="center"/>
            </w:pPr>
          </w:p>
        </w:tc>
      </w:tr>
      <w:tr w:rsidR="00E6340E" w:rsidTr="00E6340E" w14:paraId="2DE96275" w14:textId="2C49B224">
        <w:trPr>
          <w:trHeight w:val="597"/>
        </w:trPr>
        <w:tc>
          <w:tcPr>
            <w:tcW w:w="3505" w:type="dxa"/>
          </w:tcPr>
          <w:p w:rsidRPr="000F1A26" w:rsidR="00E6340E" w:rsidP="006357CD" w:rsidRDefault="00E6340E" w14:paraId="6339C04A" w14:textId="385CCA75">
            <w:r w:rsidRPr="00D563AB">
              <w:rPr>
                <w:b/>
                <w:bCs/>
              </w:rPr>
              <w:t>Data, Analytics, and Technology</w:t>
            </w:r>
            <w:r w:rsidRPr="000F1A26">
              <w:t xml:space="preserve"> </w:t>
            </w:r>
            <w:r>
              <w:t xml:space="preserve">(e.g., </w:t>
            </w:r>
            <w:r w:rsidRPr="00F90C5D">
              <w:t xml:space="preserve">performance measurement, track quality &amp; cost, </w:t>
            </w:r>
            <w:r>
              <w:t>data-driven</w:t>
            </w:r>
            <w:r w:rsidRPr="00F90C5D">
              <w:t xml:space="preserve"> decision making</w:t>
            </w:r>
            <w:r>
              <w:t>, QHIO connection, tracking rising risk)</w:t>
            </w:r>
          </w:p>
        </w:tc>
        <w:tc>
          <w:tcPr>
            <w:tcW w:w="2124" w:type="dxa"/>
          </w:tcPr>
          <w:p w:rsidR="00E6340E" w:rsidP="001C6C32" w:rsidRDefault="00E6340E" w14:paraId="3C7E2FD4" w14:textId="77777777">
            <w:pPr>
              <w:jc w:val="center"/>
            </w:pPr>
          </w:p>
        </w:tc>
        <w:tc>
          <w:tcPr>
            <w:tcW w:w="2124" w:type="dxa"/>
          </w:tcPr>
          <w:p w:rsidR="00E6340E" w:rsidP="001C6C32" w:rsidRDefault="00E6340E" w14:paraId="3992B5BE" w14:textId="30B5760A">
            <w:pPr>
              <w:jc w:val="center"/>
            </w:pPr>
          </w:p>
        </w:tc>
        <w:tc>
          <w:tcPr>
            <w:tcW w:w="2124" w:type="dxa"/>
          </w:tcPr>
          <w:p w:rsidR="00E6340E" w:rsidP="00D01D9B" w:rsidRDefault="00E6340E" w14:paraId="4C531237" w14:textId="39FD7F94">
            <w:pPr>
              <w:jc w:val="center"/>
            </w:pPr>
          </w:p>
        </w:tc>
        <w:tc>
          <w:tcPr>
            <w:tcW w:w="2124" w:type="dxa"/>
          </w:tcPr>
          <w:p w:rsidR="00E6340E" w:rsidP="00D01D9B" w:rsidRDefault="00E6340E" w14:paraId="14823BE9" w14:textId="77777777">
            <w:pPr>
              <w:jc w:val="center"/>
            </w:pPr>
          </w:p>
        </w:tc>
        <w:tc>
          <w:tcPr>
            <w:tcW w:w="2124" w:type="dxa"/>
          </w:tcPr>
          <w:p w:rsidR="00E6340E" w:rsidP="00D01D9B" w:rsidRDefault="00E6340E" w14:paraId="2243EBEB" w14:textId="77777777">
            <w:pPr>
              <w:jc w:val="center"/>
            </w:pPr>
          </w:p>
        </w:tc>
      </w:tr>
      <w:tr w:rsidR="00E6340E" w:rsidTr="00E6340E" w14:paraId="151EF6E4" w14:textId="22BE4BDF">
        <w:trPr>
          <w:trHeight w:val="1013"/>
        </w:trPr>
        <w:tc>
          <w:tcPr>
            <w:tcW w:w="3505" w:type="dxa"/>
          </w:tcPr>
          <w:p w:rsidRPr="00242EF5" w:rsidR="00E6340E" w:rsidP="006357CD" w:rsidRDefault="00E6340E" w14:paraId="6D72EF01" w14:textId="18C571E0">
            <w:pPr>
              <w:rPr>
                <w:b/>
                <w:bCs/>
              </w:rPr>
            </w:pPr>
            <w:r w:rsidRPr="00242EF5">
              <w:rPr>
                <w:b/>
                <w:bCs/>
              </w:rPr>
              <w:t>Financial</w:t>
            </w:r>
            <w:r w:rsidRPr="000F1A26">
              <w:t xml:space="preserve"> </w:t>
            </w:r>
            <w:r>
              <w:t>(e.g., m</w:t>
            </w:r>
            <w:r w:rsidRPr="003C473B">
              <w:t>odel risk &amp; potential payments, possess sufficient billing and coding expertise</w:t>
            </w:r>
            <w:r>
              <w:t>, dashboards, reserves)</w:t>
            </w:r>
          </w:p>
        </w:tc>
        <w:tc>
          <w:tcPr>
            <w:tcW w:w="2124" w:type="dxa"/>
          </w:tcPr>
          <w:p w:rsidR="00E6340E" w:rsidP="001C6C32" w:rsidRDefault="00E6340E" w14:paraId="541B3F07" w14:textId="77777777">
            <w:pPr>
              <w:jc w:val="center"/>
            </w:pPr>
          </w:p>
        </w:tc>
        <w:tc>
          <w:tcPr>
            <w:tcW w:w="2124" w:type="dxa"/>
          </w:tcPr>
          <w:p w:rsidR="00E6340E" w:rsidP="001C6C32" w:rsidRDefault="00E6340E" w14:paraId="6D47E4A8" w14:textId="4FFDBBD2">
            <w:pPr>
              <w:jc w:val="center"/>
            </w:pPr>
          </w:p>
        </w:tc>
        <w:tc>
          <w:tcPr>
            <w:tcW w:w="2124" w:type="dxa"/>
          </w:tcPr>
          <w:p w:rsidR="00E6340E" w:rsidP="00D01D9B" w:rsidRDefault="00E6340E" w14:paraId="7A1C056D" w14:textId="2A3E7AE5">
            <w:pPr>
              <w:jc w:val="center"/>
            </w:pPr>
          </w:p>
        </w:tc>
        <w:tc>
          <w:tcPr>
            <w:tcW w:w="2124" w:type="dxa"/>
          </w:tcPr>
          <w:p w:rsidR="00E6340E" w:rsidP="00D01D9B" w:rsidRDefault="00E6340E" w14:paraId="4EA2CBEA" w14:textId="77777777">
            <w:pPr>
              <w:jc w:val="center"/>
            </w:pPr>
          </w:p>
        </w:tc>
        <w:tc>
          <w:tcPr>
            <w:tcW w:w="2124" w:type="dxa"/>
          </w:tcPr>
          <w:p w:rsidR="00E6340E" w:rsidP="00D01D9B" w:rsidRDefault="00E6340E" w14:paraId="79717802" w14:textId="77777777">
            <w:pPr>
              <w:jc w:val="center"/>
            </w:pPr>
          </w:p>
        </w:tc>
      </w:tr>
      <w:tr w:rsidR="00E6340E" w:rsidTr="00E6340E" w14:paraId="6EE24634" w14:textId="1115E84E">
        <w:trPr>
          <w:trHeight w:val="508"/>
        </w:trPr>
        <w:tc>
          <w:tcPr>
            <w:tcW w:w="3505" w:type="dxa"/>
          </w:tcPr>
          <w:p w:rsidRPr="000F1A26" w:rsidR="00E6340E" w:rsidP="006357CD" w:rsidRDefault="00E6340E" w14:paraId="5FF24B70" w14:textId="37C4022B">
            <w:r w:rsidRPr="00242EF5">
              <w:rPr>
                <w:b/>
                <w:bCs/>
              </w:rPr>
              <w:t>Payer and Partner Relations</w:t>
            </w:r>
            <w:r>
              <w:t xml:space="preserve"> (e.g.,</w:t>
            </w:r>
            <w:r w:rsidRPr="009C1A49">
              <w:t xml:space="preserve"> </w:t>
            </w:r>
            <w:r>
              <w:t>productive</w:t>
            </w:r>
            <w:r w:rsidRPr="009C1A49">
              <w:t xml:space="preserve"> relationships with </w:t>
            </w:r>
            <w:r>
              <w:t>clinical and community partners;</w:t>
            </w:r>
            <w:r w:rsidRPr="009C1A49">
              <w:t xml:space="preserve"> </w:t>
            </w:r>
            <w:r>
              <w:t xml:space="preserve">functional </w:t>
            </w:r>
            <w:r w:rsidRPr="009C1A49">
              <w:t xml:space="preserve">data </w:t>
            </w:r>
            <w:r>
              <w:t>exchange; shared accountability for quality/cost )</w:t>
            </w:r>
          </w:p>
        </w:tc>
        <w:tc>
          <w:tcPr>
            <w:tcW w:w="2124" w:type="dxa"/>
          </w:tcPr>
          <w:p w:rsidR="00E6340E" w:rsidP="001C6C32" w:rsidRDefault="00E6340E" w14:paraId="2B3B77D9" w14:textId="77777777">
            <w:pPr>
              <w:jc w:val="center"/>
            </w:pPr>
          </w:p>
        </w:tc>
        <w:tc>
          <w:tcPr>
            <w:tcW w:w="2124" w:type="dxa"/>
          </w:tcPr>
          <w:p w:rsidR="00E6340E" w:rsidP="001C6C32" w:rsidRDefault="00E6340E" w14:paraId="6D44F3E2" w14:textId="344DE448">
            <w:pPr>
              <w:jc w:val="center"/>
            </w:pPr>
          </w:p>
        </w:tc>
        <w:tc>
          <w:tcPr>
            <w:tcW w:w="2124" w:type="dxa"/>
          </w:tcPr>
          <w:p w:rsidR="00E6340E" w:rsidP="00A572B7" w:rsidRDefault="00E6340E" w14:paraId="094D0A09" w14:textId="1E43CDE5"/>
        </w:tc>
        <w:tc>
          <w:tcPr>
            <w:tcW w:w="2124" w:type="dxa"/>
          </w:tcPr>
          <w:p w:rsidR="00E6340E" w:rsidP="00A572B7" w:rsidRDefault="00E6340E" w14:paraId="6EAE7969" w14:textId="77777777"/>
        </w:tc>
        <w:tc>
          <w:tcPr>
            <w:tcW w:w="2124" w:type="dxa"/>
          </w:tcPr>
          <w:p w:rsidR="00E6340E" w:rsidP="00A572B7" w:rsidRDefault="00E6340E" w14:paraId="107DAA51" w14:textId="77777777"/>
        </w:tc>
      </w:tr>
    </w:tbl>
    <w:p w:rsidR="00451606" w:rsidP="00582547" w:rsidRDefault="00451606" w14:paraId="132DCCF6" w14:textId="267CE9AD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:rsidR="00AF4938" w:rsidP="00767957" w:rsidRDefault="00657B36" w14:paraId="7A4DE83D" w14:textId="5B7B8132">
      <w:p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Based on the gap analysis above, </w:t>
      </w:r>
      <w:r w:rsidRPr="2F627E18" w:rsidR="5FC37811">
        <w:rPr>
          <w:rFonts w:eastAsia="Times New Roman" w:cs="Times New Roman"/>
          <w:color w:val="000000" w:themeColor="text1"/>
        </w:rPr>
        <w:t>list</w:t>
      </w:r>
      <w:r>
        <w:rPr>
          <w:rFonts w:eastAsia="Times New Roman" w:cs="Times New Roman"/>
          <w:color w:val="000000" w:themeColor="text1"/>
        </w:rPr>
        <w:t xml:space="preserve"> three capabilities your EPT practice </w:t>
      </w:r>
      <w:r w:rsidRPr="2F627E18" w:rsidR="497B0371">
        <w:rPr>
          <w:rFonts w:eastAsia="Times New Roman" w:cs="Times New Roman"/>
          <w:color w:val="000000" w:themeColor="text1"/>
        </w:rPr>
        <w:t xml:space="preserve">will </w:t>
      </w:r>
      <w:r>
        <w:rPr>
          <w:rFonts w:eastAsia="Times New Roman" w:cs="Times New Roman"/>
          <w:color w:val="000000" w:themeColor="text1"/>
        </w:rPr>
        <w:t xml:space="preserve">address to improve your </w:t>
      </w:r>
      <w:r w:rsidR="00AF4938">
        <w:rPr>
          <w:rFonts w:eastAsia="Times New Roman" w:cs="Times New Roman"/>
          <w:color w:val="000000" w:themeColor="text1"/>
        </w:rPr>
        <w:t>readiness for VBP contracting</w:t>
      </w:r>
      <w:r w:rsidRPr="2F627E18" w:rsidR="5A6ED65A">
        <w:rPr>
          <w:rFonts w:eastAsia="Times New Roman" w:cs="Times New Roman"/>
          <w:color w:val="000000" w:themeColor="text1"/>
        </w:rPr>
        <w:t>, including</w:t>
      </w:r>
      <w:r w:rsidR="00E6340E">
        <w:rPr>
          <w:rFonts w:eastAsia="Times New Roman" w:cs="Times New Roman"/>
          <w:color w:val="000000" w:themeColor="text1"/>
        </w:rPr>
        <w:t xml:space="preserve">: (1) the specific capability you want to develop or improve; (2) why this is a priority for your practice; </w:t>
      </w:r>
      <w:r w:rsidR="00CB3228">
        <w:rPr>
          <w:rFonts w:eastAsia="Times New Roman" w:cs="Times New Roman"/>
          <w:color w:val="000000" w:themeColor="text1"/>
        </w:rPr>
        <w:t>and</w:t>
      </w:r>
      <w:r w:rsidR="009C4D0C">
        <w:rPr>
          <w:rFonts w:eastAsia="Times New Roman" w:cs="Times New Roman"/>
          <w:color w:val="000000" w:themeColor="text1"/>
        </w:rPr>
        <w:t>,</w:t>
      </w:r>
      <w:r w:rsidR="00CB3228">
        <w:rPr>
          <w:rFonts w:eastAsia="Times New Roman" w:cs="Times New Roman"/>
          <w:color w:val="000000" w:themeColor="text1"/>
        </w:rPr>
        <w:t xml:space="preserve"> </w:t>
      </w:r>
      <w:r w:rsidR="00E6340E">
        <w:rPr>
          <w:rFonts w:eastAsia="Times New Roman" w:cs="Times New Roman"/>
          <w:color w:val="000000" w:themeColor="text1"/>
        </w:rPr>
        <w:t>(3) if the capability is best developed/improved internally or provided by a partner (e.g., IPA, MCP, ACO)</w:t>
      </w:r>
      <w:r w:rsidR="00CB3228">
        <w:rPr>
          <w:rFonts w:eastAsia="Times New Roman" w:cs="Times New Roman"/>
          <w:color w:val="000000" w:themeColor="text1"/>
        </w:rPr>
        <w:t xml:space="preserve">. </w:t>
      </w:r>
      <w:r w:rsidRPr="2F627E18" w:rsidR="68D158C9">
        <w:rPr>
          <w:rFonts w:eastAsia="Times New Roman" w:cs="Times New Roman"/>
          <w:color w:val="000000" w:themeColor="text1"/>
        </w:rPr>
        <w:t xml:space="preserve">(Note: These three areas of improvement will become the basis of your VBP </w:t>
      </w:r>
      <w:r w:rsidRPr="2F627E18" w:rsidR="6BD0FFD9">
        <w:rPr>
          <w:rFonts w:eastAsia="Times New Roman" w:cs="Times New Roman"/>
          <w:color w:val="000000" w:themeColor="text1"/>
        </w:rPr>
        <w:t>a</w:t>
      </w:r>
      <w:r w:rsidRPr="2F627E18" w:rsidR="68D158C9">
        <w:rPr>
          <w:rFonts w:eastAsia="Times New Roman" w:cs="Times New Roman"/>
          <w:color w:val="000000" w:themeColor="text1"/>
        </w:rPr>
        <w:t xml:space="preserve">ction </w:t>
      </w:r>
      <w:r w:rsidRPr="2F627E18" w:rsidR="24E1F344">
        <w:rPr>
          <w:rFonts w:eastAsia="Times New Roman" w:cs="Times New Roman"/>
          <w:color w:val="000000" w:themeColor="text1"/>
        </w:rPr>
        <w:t>p</w:t>
      </w:r>
      <w:r w:rsidRPr="2F627E18" w:rsidR="68D158C9">
        <w:rPr>
          <w:rFonts w:eastAsia="Times New Roman" w:cs="Times New Roman"/>
          <w:color w:val="000000" w:themeColor="text1"/>
        </w:rPr>
        <w:t>lan.)</w:t>
      </w:r>
    </w:p>
    <w:p w:rsidR="00AF4938" w:rsidP="000E14D7" w:rsidRDefault="00C6334C" w14:paraId="7F450A34" w14:textId="636608F1">
      <w:pPr>
        <w:pStyle w:val="ListParagraph"/>
        <w:numPr>
          <w:ilvl w:val="0"/>
          <w:numId w:val="6"/>
        </w:num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Capability 1: </w:t>
      </w:r>
    </w:p>
    <w:p w:rsidR="00AF4938" w:rsidP="000E14D7" w:rsidRDefault="00C6334C" w14:paraId="13A3FD4C" w14:textId="4BE08534">
      <w:pPr>
        <w:pStyle w:val="ListParagraph"/>
        <w:numPr>
          <w:ilvl w:val="0"/>
          <w:numId w:val="6"/>
        </w:num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Capability 2: </w:t>
      </w:r>
    </w:p>
    <w:p w:rsidRPr="00AF4938" w:rsidR="00AF4938" w:rsidP="000E14D7" w:rsidRDefault="00C6334C" w14:paraId="18E72537" w14:textId="5A3905D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Capability 3: </w:t>
      </w:r>
    </w:p>
    <w:p w:rsidR="006F2CDE" w:rsidP="004A4D3B" w:rsidRDefault="006F2CDE" w14:paraId="53BF66E6" w14:textId="77777777"/>
    <w:p w:rsidRPr="00AF4938" w:rsidR="00657B36" w:rsidP="000E14D7" w:rsidRDefault="00AF4938" w14:paraId="1BEE5EEA" w14:textId="6D94051C">
      <w:pPr>
        <w:pStyle w:val="ListParagraph"/>
        <w:numPr>
          <w:ilvl w:val="0"/>
          <w:numId w:val="8"/>
        </w:numPr>
        <w:spacing w:after="0" w:line="240" w:lineRule="auto"/>
        <w:rPr>
          <w:color w:val="007BB8"/>
        </w:rPr>
      </w:pPr>
      <w:r w:rsidRPr="00AF4938">
        <w:rPr>
          <w:rFonts w:eastAsia="Times New Roman" w:cs="Times New Roman"/>
          <w:b/>
          <w:bCs/>
          <w:color w:val="007BB8"/>
        </w:rPr>
        <w:t xml:space="preserve">Develop an </w:t>
      </w:r>
      <w:r w:rsidR="00DE6F91">
        <w:rPr>
          <w:rFonts w:eastAsia="Times New Roman" w:cs="Times New Roman"/>
          <w:b/>
          <w:bCs/>
          <w:color w:val="007BB8"/>
        </w:rPr>
        <w:t>A</w:t>
      </w:r>
      <w:r w:rsidRPr="00AF4938">
        <w:rPr>
          <w:rFonts w:eastAsia="Times New Roman" w:cs="Times New Roman"/>
          <w:b/>
          <w:bCs/>
          <w:color w:val="007BB8"/>
        </w:rPr>
        <w:t xml:space="preserve">ction </w:t>
      </w:r>
      <w:r w:rsidR="00DE6F91">
        <w:rPr>
          <w:rFonts w:eastAsia="Times New Roman" w:cs="Times New Roman"/>
          <w:b/>
          <w:bCs/>
          <w:color w:val="007BB8"/>
        </w:rPr>
        <w:t>P</w:t>
      </w:r>
      <w:r w:rsidRPr="00AF4938">
        <w:rPr>
          <w:rFonts w:eastAsia="Times New Roman" w:cs="Times New Roman"/>
          <w:b/>
          <w:bCs/>
          <w:color w:val="007BB8"/>
        </w:rPr>
        <w:t xml:space="preserve">lan to </w:t>
      </w:r>
      <w:r w:rsidR="00DE6F91">
        <w:rPr>
          <w:rFonts w:eastAsia="Times New Roman" w:cs="Times New Roman"/>
          <w:b/>
          <w:bCs/>
          <w:color w:val="007BB8"/>
        </w:rPr>
        <w:t>I</w:t>
      </w:r>
      <w:r w:rsidRPr="00AF4938">
        <w:rPr>
          <w:rFonts w:eastAsia="Times New Roman" w:cs="Times New Roman"/>
          <w:b/>
          <w:bCs/>
          <w:color w:val="007BB8"/>
        </w:rPr>
        <w:t xml:space="preserve">mprove </w:t>
      </w:r>
      <w:r w:rsidR="00DE6F91">
        <w:rPr>
          <w:rFonts w:eastAsia="Times New Roman" w:cs="Times New Roman"/>
          <w:b/>
          <w:bCs/>
          <w:color w:val="007BB8"/>
        </w:rPr>
        <w:t>R</w:t>
      </w:r>
      <w:r w:rsidRPr="00AF4938">
        <w:rPr>
          <w:rFonts w:eastAsia="Times New Roman" w:cs="Times New Roman"/>
          <w:b/>
          <w:bCs/>
          <w:color w:val="007BB8"/>
        </w:rPr>
        <w:t>eadiness for VBP</w:t>
      </w:r>
    </w:p>
    <w:p w:rsidR="00B93489" w:rsidP="004A4D3B" w:rsidRDefault="00B93489" w14:paraId="022BCAC6" w14:textId="2AB7475D">
      <w:pPr>
        <w:ind w:left="360"/>
      </w:pPr>
      <w:r>
        <w:t xml:space="preserve">The </w:t>
      </w:r>
      <w:r w:rsidR="2C159FC3">
        <w:t>a</w:t>
      </w:r>
      <w:r>
        <w:t xml:space="preserve">ction </w:t>
      </w:r>
      <w:r w:rsidR="7A32C6ED">
        <w:t>p</w:t>
      </w:r>
      <w:r>
        <w:t xml:space="preserve">lan describes what will be involved in improving the three capabilities practices identified in the gap analysis. This section also describes </w:t>
      </w:r>
      <w:r w:rsidR="00A97B77">
        <w:t xml:space="preserve">the </w:t>
      </w:r>
      <w:r w:rsidR="00F519AC">
        <w:t xml:space="preserve">planning </w:t>
      </w:r>
      <w:r>
        <w:t>activities practice</w:t>
      </w:r>
      <w:r w:rsidR="786284A1">
        <w:t>s</w:t>
      </w:r>
      <w:r>
        <w:t xml:space="preserve"> engaged in </w:t>
      </w:r>
      <w:r w:rsidR="65583C84">
        <w:t>to</w:t>
      </w:r>
      <w:r w:rsidR="6377A49D">
        <w:t xml:space="preserve"> </w:t>
      </w:r>
      <w:r w:rsidR="04747DEA">
        <w:t>develop</w:t>
      </w:r>
      <w:r>
        <w:t xml:space="preserve"> the plan.  </w:t>
      </w:r>
    </w:p>
    <w:p w:rsidR="00B93489" w:rsidP="000E14D7" w:rsidRDefault="00B93489" w14:paraId="516FD43F" w14:textId="4FA06814">
      <w:pPr>
        <w:pStyle w:val="ListParagraph"/>
        <w:numPr>
          <w:ilvl w:val="0"/>
          <w:numId w:val="12"/>
        </w:numPr>
      </w:pPr>
      <w:r>
        <w:t xml:space="preserve">Summarize the process your practice used to develop </w:t>
      </w:r>
      <w:r w:rsidR="00E55988">
        <w:t>the</w:t>
      </w:r>
      <w:r>
        <w:t xml:space="preserve"> </w:t>
      </w:r>
      <w:r w:rsidR="299BE2EA">
        <w:t>a</w:t>
      </w:r>
      <w:r>
        <w:t xml:space="preserve">ction </w:t>
      </w:r>
      <w:r w:rsidR="75C2AB06">
        <w:t>p</w:t>
      </w:r>
      <w:r>
        <w:t xml:space="preserve">lan, including: </w:t>
      </w:r>
    </w:p>
    <w:p w:rsidR="00B93489" w:rsidP="000E14D7" w:rsidRDefault="00B93489" w14:paraId="3600F776" w14:textId="163E9810">
      <w:pPr>
        <w:pStyle w:val="ListParagraph"/>
        <w:numPr>
          <w:ilvl w:val="1"/>
          <w:numId w:val="12"/>
        </w:numPr>
      </w:pPr>
      <w:r>
        <w:t>A brief overview of your</w:t>
      </w:r>
      <w:r w:rsidR="00022FAA">
        <w:t xml:space="preserve"> activities and approach</w:t>
      </w:r>
      <w:r w:rsidR="009650D9">
        <w:t xml:space="preserve"> </w:t>
      </w:r>
    </w:p>
    <w:p w:rsidR="00B93489" w:rsidP="000E14D7" w:rsidRDefault="00B93489" w14:paraId="7206C594" w14:textId="7A5C6D9C">
      <w:pPr>
        <w:pStyle w:val="ListParagraph"/>
        <w:numPr>
          <w:ilvl w:val="1"/>
          <w:numId w:val="12"/>
        </w:numPr>
      </w:pPr>
      <w:r>
        <w:t>The leadership and staff involved</w:t>
      </w:r>
      <w:r w:rsidR="00AA62EC">
        <w:t xml:space="preserve"> in the discussions</w:t>
      </w:r>
    </w:p>
    <w:p w:rsidR="00B93489" w:rsidP="000E14D7" w:rsidRDefault="00AA62EC" w14:paraId="7285500E" w14:textId="4551CC4F">
      <w:pPr>
        <w:pStyle w:val="ListParagraph"/>
        <w:numPr>
          <w:ilvl w:val="1"/>
          <w:numId w:val="12"/>
        </w:numPr>
      </w:pPr>
      <w:r>
        <w:t xml:space="preserve">How this aligns with other priorities </w:t>
      </w:r>
      <w:r w:rsidR="00F519AC">
        <w:t>in your practice</w:t>
      </w:r>
    </w:p>
    <w:p w:rsidR="00F57476" w:rsidP="004A4D3B" w:rsidRDefault="00BA74EE" w14:paraId="6A5EC220" w14:textId="26F4EF8A">
      <w:pPr>
        <w:ind w:left="360"/>
      </w:pPr>
      <w:r>
        <w:t xml:space="preserve">Using </w:t>
      </w:r>
      <w:r w:rsidR="00F57476">
        <w:t xml:space="preserve">the </w:t>
      </w:r>
      <w:r w:rsidR="1A8E1D27">
        <w:t>a</w:t>
      </w:r>
      <w:r w:rsidR="004E4262">
        <w:t xml:space="preserve">ction </w:t>
      </w:r>
      <w:r w:rsidR="0A61C294">
        <w:t>p</w:t>
      </w:r>
      <w:r w:rsidR="004E4262">
        <w:t>lan table below</w:t>
      </w:r>
      <w:r w:rsidR="00022FAA">
        <w:t>, provide more information on the following components of your plan</w:t>
      </w:r>
      <w:r w:rsidR="4E90B40A">
        <w:t xml:space="preserve"> for each of the three capabilities</w:t>
      </w:r>
      <w:r w:rsidR="00022FAA">
        <w:t xml:space="preserve">: </w:t>
      </w:r>
      <w:r w:rsidR="00BD7E51">
        <w:t xml:space="preserve"> </w:t>
      </w:r>
    </w:p>
    <w:p w:rsidRPr="00005271" w:rsidR="00BD7E51" w:rsidP="000E14D7" w:rsidRDefault="00005271" w14:paraId="37FCE420" w14:textId="61D05925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005271">
        <w:rPr>
          <w:color w:val="000000" w:themeColor="text1"/>
        </w:rPr>
        <w:t xml:space="preserve">Goals: </w:t>
      </w:r>
      <w:r w:rsidR="00022FAA">
        <w:rPr>
          <w:color w:val="000000" w:themeColor="text1"/>
        </w:rPr>
        <w:t xml:space="preserve">Briefly describe </w:t>
      </w:r>
      <w:r>
        <w:rPr>
          <w:color w:val="000000" w:themeColor="text1"/>
        </w:rPr>
        <w:t xml:space="preserve">the capability you want to build </w:t>
      </w:r>
      <w:r w:rsidR="00022FAA">
        <w:rPr>
          <w:color w:val="000000" w:themeColor="text1"/>
        </w:rPr>
        <w:t xml:space="preserve">or refine </w:t>
      </w:r>
      <w:r>
        <w:rPr>
          <w:color w:val="000000" w:themeColor="text1"/>
        </w:rPr>
        <w:t>and how this will improve your success with participating in a VBP model.</w:t>
      </w:r>
    </w:p>
    <w:p w:rsidR="00123CC6" w:rsidP="000E14D7" w:rsidRDefault="00005271" w14:paraId="51EF8DFF" w14:textId="1146384F">
      <w:pPr>
        <w:pStyle w:val="ListParagraph"/>
        <w:numPr>
          <w:ilvl w:val="0"/>
          <w:numId w:val="9"/>
        </w:numPr>
      </w:pPr>
      <w:r>
        <w:t>Major</w:t>
      </w:r>
      <w:r w:rsidR="00E6340E">
        <w:t xml:space="preserve"> Activities: List a minimum of </w:t>
      </w:r>
      <w:r w:rsidR="00CB3228">
        <w:t>3</w:t>
      </w:r>
      <w:r w:rsidR="00E6340E">
        <w:t xml:space="preserve"> steps </w:t>
      </w:r>
      <w:r w:rsidR="00CB3228">
        <w:t xml:space="preserve">your practice will engage in </w:t>
      </w:r>
      <w:r w:rsidR="00E6340E">
        <w:t xml:space="preserve">to build, refine or contract for this capability. </w:t>
      </w:r>
      <w:r w:rsidR="00B93489">
        <w:t xml:space="preserve">For each activity, indicate the month/year you expect to </w:t>
      </w:r>
      <w:r w:rsidR="5C942391">
        <w:t>complete the activity</w:t>
      </w:r>
      <w:r w:rsidR="00B93489">
        <w:t xml:space="preserve">. </w:t>
      </w:r>
    </w:p>
    <w:p w:rsidR="00022FAA" w:rsidP="000E14D7" w:rsidRDefault="00022FAA" w14:paraId="0C5C2257" w14:textId="22EDEB78">
      <w:pPr>
        <w:pStyle w:val="ListParagraph"/>
        <w:numPr>
          <w:ilvl w:val="0"/>
          <w:numId w:val="9"/>
        </w:numPr>
      </w:pPr>
      <w:r>
        <w:t xml:space="preserve">Key Decisions: </w:t>
      </w:r>
      <w:r w:rsidR="00CB3228">
        <w:t>Describe</w:t>
      </w:r>
      <w:r>
        <w:t xml:space="preserve"> at least two key decisions you expect your practice will need to make to make progress on your improvement opportunity</w:t>
      </w:r>
      <w:r w:rsidR="00E55988">
        <w:t xml:space="preserve"> (e.g., building internally vs. working with a partner; allocating reserve funds; defining performance benchmarks).</w:t>
      </w:r>
    </w:p>
    <w:p w:rsidR="00E55988" w:rsidP="000E14D7" w:rsidRDefault="00E55988" w14:paraId="014CDF50" w14:textId="50CDC049">
      <w:pPr>
        <w:pStyle w:val="ListParagraph"/>
        <w:numPr>
          <w:ilvl w:val="0"/>
          <w:numId w:val="9"/>
        </w:numPr>
      </w:pPr>
      <w:r>
        <w:t>Structural Changes: Describe at least one structural change you expect you’ll need to make (e.g., governance, staffing, contracting, workflow redesign)</w:t>
      </w:r>
      <w:r w:rsidR="00A46C2A">
        <w:t>.</w:t>
      </w:r>
    </w:p>
    <w:p w:rsidR="00B56B23" w:rsidP="000E14D7" w:rsidRDefault="00022FAA" w14:paraId="0B85FB57" w14:textId="7895A38A">
      <w:pPr>
        <w:pStyle w:val="ListParagraph"/>
        <w:numPr>
          <w:ilvl w:val="0"/>
          <w:numId w:val="9"/>
        </w:numPr>
      </w:pPr>
      <w:r>
        <w:t>S</w:t>
      </w:r>
      <w:r w:rsidR="00005271">
        <w:t>taff</w:t>
      </w:r>
      <w:r>
        <w:t>ing</w:t>
      </w:r>
      <w:r w:rsidR="00005271">
        <w:t xml:space="preserve">: Which staff will be responsible for managing this process? What other key staff will be involved? </w:t>
      </w:r>
    </w:p>
    <w:p w:rsidR="00005271" w:rsidP="000E14D7" w:rsidRDefault="00005271" w14:paraId="59423054" w14:textId="7B179827">
      <w:pPr>
        <w:pStyle w:val="ListParagraph"/>
        <w:numPr>
          <w:ilvl w:val="0"/>
          <w:numId w:val="9"/>
        </w:numPr>
      </w:pPr>
      <w:r>
        <w:t xml:space="preserve">Leadership Engagement: How will you engage leadership? What do you need from leadership to be successful? </w:t>
      </w:r>
    </w:p>
    <w:p w:rsidR="00312C87" w:rsidP="00A46C2A" w:rsidRDefault="00005271" w14:paraId="2216B338" w14:textId="31F64BFC">
      <w:pPr>
        <w:pStyle w:val="ListParagraph"/>
        <w:numPr>
          <w:ilvl w:val="0"/>
          <w:numId w:val="9"/>
        </w:numPr>
      </w:pPr>
      <w:r>
        <w:t xml:space="preserve">Measuring Progress: </w:t>
      </w:r>
      <w:r w:rsidR="00B93489">
        <w:t>For each improvement opportunity, p</w:t>
      </w:r>
      <w:r>
        <w:t xml:space="preserve">rovide at least </w:t>
      </w:r>
      <w:r w:rsidR="51AD9505">
        <w:t>1</w:t>
      </w:r>
      <w:r w:rsidR="00B93489">
        <w:t xml:space="preserve"> specific and measurable</w:t>
      </w:r>
      <w:r>
        <w:t xml:space="preserve"> </w:t>
      </w:r>
      <w:r w:rsidR="3E8A66E0">
        <w:t>indicator</w:t>
      </w:r>
      <w:r>
        <w:t xml:space="preserve"> of progress you will use. </w:t>
      </w:r>
    </w:p>
    <w:p w:rsidR="00312C87" w:rsidP="00843AAB" w:rsidRDefault="00312C87" w14:paraId="137062CE" w14:textId="77777777">
      <w:pPr>
        <w:pStyle w:val="ListParagraph"/>
      </w:pPr>
    </w:p>
    <w:p w:rsidR="006E049C" w:rsidP="00843AAB" w:rsidRDefault="006E049C" w14:paraId="6EF27698" w14:textId="77777777">
      <w:pPr>
        <w:pStyle w:val="ListParagraph"/>
      </w:pPr>
    </w:p>
    <w:p w:rsidR="006E049C" w:rsidP="00843AAB" w:rsidRDefault="006E049C" w14:paraId="6C9363E1" w14:textId="77777777">
      <w:pPr>
        <w:pStyle w:val="ListParagraph"/>
      </w:pPr>
    </w:p>
    <w:p w:rsidRPr="00767957" w:rsidR="006E049C" w:rsidP="00843AAB" w:rsidRDefault="006E049C" w14:paraId="56AD4A86" w14:textId="77777777">
      <w:pPr>
        <w:pStyle w:val="ListParagraph"/>
      </w:pPr>
    </w:p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</w:tblPr>
      <w:tblGrid>
        <w:gridCol w:w="1918"/>
        <w:gridCol w:w="1718"/>
        <w:gridCol w:w="1718"/>
        <w:gridCol w:w="1718"/>
        <w:gridCol w:w="1718"/>
        <w:gridCol w:w="1718"/>
        <w:gridCol w:w="1718"/>
        <w:gridCol w:w="1719"/>
      </w:tblGrid>
      <w:tr w:rsidR="00E55988" w:rsidTr="00B87A8B" w14:paraId="372A35CE" w14:textId="77777777">
        <w:trPr>
          <w:trHeight w:val="350"/>
        </w:trPr>
        <w:tc>
          <w:tcPr>
            <w:tcW w:w="13945" w:type="dxa"/>
            <w:gridSpan w:val="8"/>
            <w:shd w:val="clear" w:color="auto" w:fill="0F9ED5" w:themeFill="accent4"/>
          </w:tcPr>
          <w:p w:rsidRPr="00282AC8" w:rsidR="00E55988" w:rsidP="006E049C" w:rsidRDefault="00E55988" w14:paraId="039CF330" w14:textId="15C50437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VBP </w:t>
            </w:r>
            <w:r w:rsidRPr="00282AC8">
              <w:rPr>
                <w:b/>
                <w:bCs/>
                <w:color w:val="FFFFFF"/>
              </w:rPr>
              <w:t>Action Plan</w:t>
            </w:r>
          </w:p>
        </w:tc>
      </w:tr>
      <w:tr w:rsidR="00E55988" w:rsidTr="2F627E18" w14:paraId="5EE12FC5" w14:textId="77777777">
        <w:trPr>
          <w:trHeight w:val="718"/>
        </w:trPr>
        <w:tc>
          <w:tcPr>
            <w:tcW w:w="1918" w:type="dxa"/>
            <w:shd w:val="clear" w:color="auto" w:fill="CAEDFB" w:themeFill="accent4" w:themeFillTint="33"/>
            <w:vAlign w:val="center"/>
          </w:tcPr>
          <w:p w:rsidRPr="00282AC8" w:rsidR="00E55988" w:rsidP="00022FAA" w:rsidRDefault="00E55988" w14:paraId="5F4C4F27" w14:textId="32988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 of Improvement</w:t>
            </w:r>
          </w:p>
        </w:tc>
        <w:tc>
          <w:tcPr>
            <w:tcW w:w="1718" w:type="dxa"/>
            <w:shd w:val="clear" w:color="auto" w:fill="CAEDFB" w:themeFill="accent4" w:themeFillTint="33"/>
            <w:vAlign w:val="center"/>
          </w:tcPr>
          <w:p w:rsidRPr="00282AC8" w:rsidR="00E55988" w:rsidP="00022FAA" w:rsidRDefault="00E55988" w14:paraId="6DA1DA83" w14:textId="6B4D5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Goals</w:t>
            </w:r>
          </w:p>
        </w:tc>
        <w:tc>
          <w:tcPr>
            <w:tcW w:w="1718" w:type="dxa"/>
            <w:shd w:val="clear" w:color="auto" w:fill="CAEDFB" w:themeFill="accent4" w:themeFillTint="33"/>
            <w:vAlign w:val="center"/>
          </w:tcPr>
          <w:p w:rsidRPr="00282AC8" w:rsidR="00E55988" w:rsidP="00022FAA" w:rsidRDefault="00E55988" w14:paraId="6E9C5B71" w14:textId="062E35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Major Activities &amp; Timeline</w:t>
            </w:r>
          </w:p>
        </w:tc>
        <w:tc>
          <w:tcPr>
            <w:tcW w:w="1718" w:type="dxa"/>
            <w:shd w:val="clear" w:color="auto" w:fill="CAEDFB" w:themeFill="accent4" w:themeFillTint="33"/>
            <w:vAlign w:val="center"/>
          </w:tcPr>
          <w:p w:rsidR="00E55988" w:rsidP="00022FAA" w:rsidRDefault="00E55988" w14:paraId="42F1520D" w14:textId="6FA022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Decisions</w:t>
            </w:r>
          </w:p>
        </w:tc>
        <w:tc>
          <w:tcPr>
            <w:tcW w:w="1718" w:type="dxa"/>
            <w:shd w:val="clear" w:color="auto" w:fill="CAEDFB" w:themeFill="accent4" w:themeFillTint="33"/>
            <w:vAlign w:val="center"/>
          </w:tcPr>
          <w:p w:rsidR="00E55988" w:rsidDel="00022FAA" w:rsidP="00022FAA" w:rsidRDefault="00E55988" w14:paraId="3DAED7E7" w14:textId="06C6FD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Structural Changes</w:t>
            </w:r>
          </w:p>
        </w:tc>
        <w:tc>
          <w:tcPr>
            <w:tcW w:w="1718" w:type="dxa"/>
            <w:shd w:val="clear" w:color="auto" w:fill="CAEDFB" w:themeFill="accent4" w:themeFillTint="33"/>
            <w:vAlign w:val="center"/>
          </w:tcPr>
          <w:p w:rsidRPr="00282AC8" w:rsidR="00E55988" w:rsidP="00022FAA" w:rsidRDefault="00E55988" w14:paraId="7F6CF449" w14:textId="1FAFE1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Staffing</w:t>
            </w:r>
          </w:p>
        </w:tc>
        <w:tc>
          <w:tcPr>
            <w:tcW w:w="1718" w:type="dxa"/>
            <w:shd w:val="clear" w:color="auto" w:fill="CAEDFB" w:themeFill="accent4" w:themeFillTint="33"/>
            <w:vAlign w:val="center"/>
          </w:tcPr>
          <w:p w:rsidR="00E55988" w:rsidP="00022FAA" w:rsidRDefault="00E55988" w14:paraId="3C038E04" w14:textId="0C09C3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Leadership Engagement</w:t>
            </w:r>
          </w:p>
        </w:tc>
        <w:tc>
          <w:tcPr>
            <w:tcW w:w="1719" w:type="dxa"/>
            <w:shd w:val="clear" w:color="auto" w:fill="CAEDFB" w:themeFill="accent4" w:themeFillTint="33"/>
            <w:vAlign w:val="center"/>
          </w:tcPr>
          <w:p w:rsidRPr="00282AC8" w:rsidR="00E55988" w:rsidP="00022FAA" w:rsidRDefault="00E55988" w14:paraId="07082788" w14:textId="5AEBD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Measuring Progress</w:t>
            </w:r>
          </w:p>
        </w:tc>
      </w:tr>
      <w:tr w:rsidR="00E55988" w:rsidTr="00B87A8B" w14:paraId="4527A306" w14:textId="77777777">
        <w:trPr>
          <w:trHeight w:val="756"/>
        </w:trPr>
        <w:tc>
          <w:tcPr>
            <w:tcW w:w="1918" w:type="dxa"/>
          </w:tcPr>
          <w:p w:rsidR="00E55988" w:rsidP="003A66A5" w:rsidRDefault="00E55988" w14:paraId="3130D4DD" w14:textId="453E9509">
            <w:r>
              <w:t xml:space="preserve">[list the first improvement opportunity] </w:t>
            </w:r>
          </w:p>
        </w:tc>
        <w:tc>
          <w:tcPr>
            <w:tcW w:w="1718" w:type="dxa"/>
          </w:tcPr>
          <w:p w:rsidR="00E55988" w:rsidP="003A66A5" w:rsidRDefault="00E55988" w14:paraId="2F2460E4" w14:textId="77777777"/>
        </w:tc>
        <w:tc>
          <w:tcPr>
            <w:tcW w:w="1718" w:type="dxa"/>
          </w:tcPr>
          <w:p w:rsidR="00E55988" w:rsidP="003A66A5" w:rsidRDefault="00E55988" w14:paraId="431883DF" w14:textId="6B7CD5D6"/>
        </w:tc>
        <w:tc>
          <w:tcPr>
            <w:tcW w:w="1718" w:type="dxa"/>
          </w:tcPr>
          <w:p w:rsidR="00E55988" w:rsidP="003A66A5" w:rsidRDefault="00E55988" w14:paraId="0A0CF5A2" w14:textId="77777777"/>
        </w:tc>
        <w:tc>
          <w:tcPr>
            <w:tcW w:w="1718" w:type="dxa"/>
          </w:tcPr>
          <w:p w:rsidR="00E55988" w:rsidP="003A66A5" w:rsidRDefault="00E55988" w14:paraId="73041EE5" w14:textId="77777777"/>
        </w:tc>
        <w:tc>
          <w:tcPr>
            <w:tcW w:w="1718" w:type="dxa"/>
          </w:tcPr>
          <w:p w:rsidR="00E55988" w:rsidP="003A66A5" w:rsidRDefault="00E55988" w14:paraId="1E87E059" w14:textId="779D9258"/>
        </w:tc>
        <w:tc>
          <w:tcPr>
            <w:tcW w:w="1718" w:type="dxa"/>
          </w:tcPr>
          <w:p w:rsidR="00E55988" w:rsidP="003A66A5" w:rsidRDefault="00E55988" w14:paraId="1BDEB440" w14:textId="77777777"/>
        </w:tc>
        <w:tc>
          <w:tcPr>
            <w:tcW w:w="1719" w:type="dxa"/>
          </w:tcPr>
          <w:p w:rsidR="00E55988" w:rsidP="003A66A5" w:rsidRDefault="00E55988" w14:paraId="3DF6EE7A" w14:textId="77777777"/>
        </w:tc>
      </w:tr>
      <w:tr w:rsidR="00E55988" w:rsidTr="00B87A8B" w14:paraId="7E3336E4" w14:textId="77777777">
        <w:trPr>
          <w:trHeight w:val="756"/>
        </w:trPr>
        <w:tc>
          <w:tcPr>
            <w:tcW w:w="1918" w:type="dxa"/>
          </w:tcPr>
          <w:p w:rsidR="00E55988" w:rsidP="003A66A5" w:rsidRDefault="00E55988" w14:paraId="67F31E6B" w14:textId="532E3E3B">
            <w:r>
              <w:t>[list the second improvement opportunity]</w:t>
            </w:r>
          </w:p>
        </w:tc>
        <w:tc>
          <w:tcPr>
            <w:tcW w:w="1718" w:type="dxa"/>
          </w:tcPr>
          <w:p w:rsidR="00E55988" w:rsidP="003A66A5" w:rsidRDefault="00E55988" w14:paraId="0262A277" w14:textId="77777777"/>
        </w:tc>
        <w:tc>
          <w:tcPr>
            <w:tcW w:w="1718" w:type="dxa"/>
          </w:tcPr>
          <w:p w:rsidR="00E55988" w:rsidP="003A66A5" w:rsidRDefault="00E55988" w14:paraId="369A03AD" w14:textId="06799C02"/>
        </w:tc>
        <w:tc>
          <w:tcPr>
            <w:tcW w:w="1718" w:type="dxa"/>
          </w:tcPr>
          <w:p w:rsidR="00E55988" w:rsidP="003A66A5" w:rsidRDefault="00E55988" w14:paraId="351072EC" w14:textId="77777777"/>
        </w:tc>
        <w:tc>
          <w:tcPr>
            <w:tcW w:w="1718" w:type="dxa"/>
          </w:tcPr>
          <w:p w:rsidR="00E55988" w:rsidP="003A66A5" w:rsidRDefault="00E55988" w14:paraId="39D1052A" w14:textId="77777777"/>
        </w:tc>
        <w:tc>
          <w:tcPr>
            <w:tcW w:w="1718" w:type="dxa"/>
          </w:tcPr>
          <w:p w:rsidR="00E55988" w:rsidP="003A66A5" w:rsidRDefault="00E55988" w14:paraId="4D8BD465" w14:textId="00222ACF"/>
        </w:tc>
        <w:tc>
          <w:tcPr>
            <w:tcW w:w="1718" w:type="dxa"/>
          </w:tcPr>
          <w:p w:rsidR="00E55988" w:rsidP="003A66A5" w:rsidRDefault="00E55988" w14:paraId="5ED6AF5F" w14:textId="77777777"/>
        </w:tc>
        <w:tc>
          <w:tcPr>
            <w:tcW w:w="1719" w:type="dxa"/>
          </w:tcPr>
          <w:p w:rsidR="00E55988" w:rsidP="003A66A5" w:rsidRDefault="00E55988" w14:paraId="6785419E" w14:textId="77777777"/>
        </w:tc>
      </w:tr>
      <w:tr w:rsidR="00E55988" w:rsidTr="00B87A8B" w14:paraId="1C6D4A9B" w14:textId="77777777">
        <w:trPr>
          <w:trHeight w:val="711"/>
        </w:trPr>
        <w:tc>
          <w:tcPr>
            <w:tcW w:w="1918" w:type="dxa"/>
          </w:tcPr>
          <w:p w:rsidR="00E55988" w:rsidP="003A66A5" w:rsidRDefault="00E55988" w14:paraId="1092DC06" w14:textId="530391AC">
            <w:r>
              <w:t>[list the third improvement opportunity]</w:t>
            </w:r>
          </w:p>
        </w:tc>
        <w:tc>
          <w:tcPr>
            <w:tcW w:w="1718" w:type="dxa"/>
          </w:tcPr>
          <w:p w:rsidR="00E55988" w:rsidP="003A66A5" w:rsidRDefault="00E55988" w14:paraId="6C70EB7A" w14:textId="77777777"/>
        </w:tc>
        <w:tc>
          <w:tcPr>
            <w:tcW w:w="1718" w:type="dxa"/>
          </w:tcPr>
          <w:p w:rsidR="00E55988" w:rsidP="003A66A5" w:rsidRDefault="00E55988" w14:paraId="7A815444" w14:textId="2ABE9543"/>
        </w:tc>
        <w:tc>
          <w:tcPr>
            <w:tcW w:w="1718" w:type="dxa"/>
          </w:tcPr>
          <w:p w:rsidR="00E55988" w:rsidP="003A66A5" w:rsidRDefault="00E55988" w14:paraId="7CB11AEE" w14:textId="77777777"/>
        </w:tc>
        <w:tc>
          <w:tcPr>
            <w:tcW w:w="1718" w:type="dxa"/>
          </w:tcPr>
          <w:p w:rsidR="00E55988" w:rsidP="003A66A5" w:rsidRDefault="00E55988" w14:paraId="3A900EC9" w14:textId="77777777"/>
        </w:tc>
        <w:tc>
          <w:tcPr>
            <w:tcW w:w="1718" w:type="dxa"/>
          </w:tcPr>
          <w:p w:rsidR="00E55988" w:rsidP="003A66A5" w:rsidRDefault="00E55988" w14:paraId="4E8AB162" w14:textId="22BFFE6B"/>
        </w:tc>
        <w:tc>
          <w:tcPr>
            <w:tcW w:w="1718" w:type="dxa"/>
          </w:tcPr>
          <w:p w:rsidR="00E55988" w:rsidP="003A66A5" w:rsidRDefault="00E55988" w14:paraId="03504CD5" w14:textId="77777777"/>
        </w:tc>
        <w:tc>
          <w:tcPr>
            <w:tcW w:w="1719" w:type="dxa"/>
          </w:tcPr>
          <w:p w:rsidR="00E55988" w:rsidP="003A66A5" w:rsidRDefault="00E55988" w14:paraId="2A766E2C" w14:textId="77777777"/>
        </w:tc>
      </w:tr>
    </w:tbl>
    <w:p w:rsidR="007F1043" w:rsidP="007F1043" w:rsidRDefault="007F1043" w14:paraId="5B8A0A8D" w14:textId="77777777">
      <w:pPr>
        <w:pStyle w:val="ListParagraph"/>
      </w:pPr>
    </w:p>
    <w:p w:rsidR="007F1043" w:rsidP="00B87A8B" w:rsidRDefault="007F1043" w14:paraId="67B07650" w14:textId="77777777">
      <w:pPr>
        <w:pStyle w:val="ListParagraph"/>
      </w:pPr>
    </w:p>
    <w:p w:rsidRPr="00B87A8B" w:rsidR="007F1043" w:rsidP="000E14D7" w:rsidRDefault="00063634" w14:paraId="43AA2226" w14:textId="396B4C83">
      <w:pPr>
        <w:pStyle w:val="ListParagraph"/>
        <w:numPr>
          <w:ilvl w:val="0"/>
          <w:numId w:val="11"/>
        </w:numPr>
      </w:pPr>
      <w:r w:rsidRPr="00063634">
        <w:t>Identify the two most likely implementation risks</w:t>
      </w:r>
      <w:r w:rsidR="007F1043">
        <w:t xml:space="preserve"> and describe why you think you are likely to encounter them. </w:t>
      </w:r>
      <w:r w:rsidRPr="00063634">
        <w:t xml:space="preserve"> </w:t>
      </w:r>
    </w:p>
    <w:p w:rsidRPr="00843AAB" w:rsidR="00B93489" w:rsidP="000E14D7" w:rsidRDefault="00B93489" w14:paraId="1F4461B3" w14:textId="646302F9">
      <w:pPr>
        <w:pStyle w:val="ListParagraph"/>
        <w:numPr>
          <w:ilvl w:val="0"/>
          <w:numId w:val="11"/>
        </w:numPr>
      </w:pPr>
      <w:r>
        <w:t xml:space="preserve">For each </w:t>
      </w:r>
      <w:r w:rsidR="00063634">
        <w:t>risk</w:t>
      </w:r>
      <w:r>
        <w:t xml:space="preserve">, provide at least one mitigation strategy. </w:t>
      </w:r>
    </w:p>
    <w:p w:rsidRPr="00843AAB" w:rsidR="00B93489" w:rsidP="00843AAB" w:rsidRDefault="00B93489" w14:paraId="111F9ADA" w14:textId="77777777"/>
    <w:p w:rsidR="00DC3F93" w:rsidRDefault="00DC3F93" w14:paraId="70959DF8" w14:textId="3C25EE4B">
      <w:pPr>
        <w:rPr>
          <w:rFonts w:eastAsia="Times New Roman" w:cs="Times New Roman"/>
          <w:b/>
          <w:bCs/>
          <w:color w:val="000000"/>
          <w:kern w:val="0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14:ligatures w14:val="none"/>
        </w:rPr>
        <w:br w:type="page"/>
      </w:r>
    </w:p>
    <w:p w:rsidR="00975BE6" w:rsidP="79409682" w:rsidRDefault="00975BE6" w14:paraId="1633788F" w14:textId="77777777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:rsidR="00DC3F93" w:rsidP="79409682" w:rsidRDefault="00DC3F93" w14:paraId="7D843B1A" w14:textId="4F251876">
      <w:pPr>
        <w:spacing w:after="0" w:line="240" w:lineRule="auto"/>
        <w:rPr>
          <w:rFonts w:eastAsia="Times New Roman" w:cs="Times New Roman"/>
          <w:b/>
          <w:bCs/>
          <w:color w:val="007BB8"/>
          <w:kern w:val="0"/>
          <w14:ligatures w14:val="none"/>
        </w:rPr>
      </w:pPr>
      <w:r w:rsidRPr="00DC3F93">
        <w:rPr>
          <w:rFonts w:eastAsia="Times New Roman" w:cs="Times New Roman"/>
          <w:b/>
          <w:bCs/>
          <w:color w:val="007BB8"/>
          <w:kern w:val="0"/>
          <w14:ligatures w14:val="none"/>
        </w:rPr>
        <w:t xml:space="preserve">Appendix 1. Foundation Capabilities </w:t>
      </w:r>
      <w:r w:rsidR="00462859">
        <w:rPr>
          <w:rFonts w:eastAsia="Times New Roman" w:cs="Times New Roman"/>
          <w:b/>
          <w:bCs/>
          <w:color w:val="007BB8"/>
          <w:kern w:val="0"/>
          <w14:ligatures w14:val="none"/>
        </w:rPr>
        <w:t xml:space="preserve">For </w:t>
      </w:r>
      <w:r w:rsidRPr="00DC3F93">
        <w:rPr>
          <w:rFonts w:eastAsia="Times New Roman" w:cs="Times New Roman"/>
          <w:b/>
          <w:bCs/>
          <w:color w:val="007BB8"/>
          <w:kern w:val="0"/>
          <w14:ligatures w14:val="none"/>
        </w:rPr>
        <w:t xml:space="preserve">VBP Readiness </w:t>
      </w:r>
    </w:p>
    <w:p w:rsidRPr="00272010" w:rsidR="00903289" w:rsidP="00903289" w:rsidRDefault="00545587" w14:paraId="18B49012" w14:textId="75B746FB">
      <w:pPr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>
        <w:rPr>
          <w:rFonts w:eastAsia="Times New Roman" w:cs="Times New Roman"/>
          <w:color w:val="000000" w:themeColor="text1"/>
          <w:kern w:val="0"/>
          <w14:ligatures w14:val="none"/>
        </w:rPr>
        <w:t xml:space="preserve">Appendix 1 is intended to aid </w:t>
      </w:r>
      <w:r w:rsidR="00272010">
        <w:rPr>
          <w:rFonts w:eastAsia="Times New Roman" w:cs="Times New Roman"/>
          <w:color w:val="000000" w:themeColor="text1"/>
          <w:kern w:val="0"/>
          <w14:ligatures w14:val="none"/>
        </w:rPr>
        <w:t>EPT practices in understanding</w:t>
      </w:r>
      <w:r w:rsidR="003C0A9C">
        <w:rPr>
          <w:rFonts w:eastAsia="Times New Roman" w:cs="Times New Roman"/>
          <w:color w:val="000000" w:themeColor="text1"/>
          <w:kern w:val="0"/>
          <w14:ligatures w14:val="none"/>
        </w:rPr>
        <w:t xml:space="preserve"> </w:t>
      </w:r>
      <w:r w:rsidR="002376D9">
        <w:rPr>
          <w:rFonts w:eastAsia="Times New Roman" w:cs="Times New Roman"/>
          <w:color w:val="000000" w:themeColor="text1"/>
          <w:kern w:val="0"/>
          <w14:ligatures w14:val="none"/>
        </w:rPr>
        <w:t xml:space="preserve">foundational capabilities that support VBP readiness </w:t>
      </w:r>
      <w:r w:rsidR="0044481D">
        <w:rPr>
          <w:rFonts w:eastAsia="Times New Roman" w:cs="Times New Roman"/>
          <w:color w:val="000000" w:themeColor="text1"/>
          <w:kern w:val="0"/>
          <w14:ligatures w14:val="none"/>
        </w:rPr>
        <w:t xml:space="preserve">as well as </w:t>
      </w:r>
      <w:r w:rsidR="00903289">
        <w:rPr>
          <w:rFonts w:eastAsia="Times New Roman" w:cs="Times New Roman"/>
          <w:color w:val="000000" w:themeColor="text1"/>
          <w:kern w:val="0"/>
          <w14:ligatures w14:val="none"/>
        </w:rPr>
        <w:t xml:space="preserve">identifying improvements to their current state. Examples are sourced from </w:t>
      </w:r>
      <w:hyperlink w:history="1" r:id="rId14">
        <w:r w:rsidRPr="00852462" w:rsidR="00903289">
          <w:rPr>
            <w:rStyle w:val="Hyperlink"/>
            <w:rFonts w:eastAsia="Times New Roman" w:cs="Times New Roman"/>
            <w:kern w:val="0"/>
            <w14:ligatures w14:val="none"/>
          </w:rPr>
          <w:t>"Building Bridges to Value: Infrastructure Essentials</w:t>
        </w:r>
        <w:r w:rsidRPr="00852462" w:rsidR="00852462">
          <w:rPr>
            <w:rStyle w:val="Hyperlink"/>
            <w:rFonts w:eastAsia="Times New Roman" w:cs="Times New Roman"/>
            <w:kern w:val="0"/>
            <w14:ligatures w14:val="none"/>
          </w:rPr>
          <w:t xml:space="preserve"> for Community Health Centers”</w:t>
        </w:r>
      </w:hyperlink>
      <w:r w:rsidR="003A66A5">
        <w:t xml:space="preserve"> and the </w:t>
      </w:r>
      <w:hyperlink w:history="1" r:id="rId15">
        <w:r w:rsidRPr="006F5E6F" w:rsidR="003A66A5">
          <w:rPr>
            <w:rStyle w:val="Hyperlink"/>
          </w:rPr>
          <w:t>EPT February 2026 Value Based Payment Learning Community</w:t>
        </w:r>
      </w:hyperlink>
      <w:r w:rsidR="003A66A5">
        <w:t xml:space="preserve">. </w:t>
      </w:r>
      <w:r w:rsidR="00852462">
        <w:rPr>
          <w:rFonts w:eastAsia="Times New Roman" w:cs="Times New Roman"/>
          <w:color w:val="000000" w:themeColor="text1"/>
          <w:kern w:val="0"/>
          <w14:ligatures w14:val="none"/>
        </w:rPr>
        <w:t xml:space="preserve"> </w:t>
      </w:r>
    </w:p>
    <w:p w:rsidR="00272010" w:rsidP="79409682" w:rsidRDefault="00272010" w14:paraId="5A230EF7" w14:textId="77777777">
      <w:pPr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</w:p>
    <w:p w:rsidRPr="003C73C1" w:rsidR="0075169F" w:rsidP="000E14D7" w:rsidRDefault="0075169F" w14:paraId="4C524A15" w14:textId="2B284F9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3C73C1">
        <w:rPr>
          <w:b/>
          <w:bCs/>
        </w:rPr>
        <w:t>Leadership, governance, and legal</w:t>
      </w:r>
    </w:p>
    <w:p w:rsidRPr="00947AEC" w:rsidR="003C73C1" w:rsidP="000E14D7" w:rsidRDefault="00947AEC" w14:paraId="1BCD7667" w14:textId="7F9C5481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Senior leader champion for VBP work (ideally executive and clinical lead)</w:t>
      </w:r>
    </w:p>
    <w:p w:rsidRPr="00947AEC" w:rsidR="00947AEC" w:rsidP="000E14D7" w:rsidRDefault="00947AEC" w14:paraId="0A92CE53" w14:textId="673E74EE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Board champion for VBP work and buy-in among board members that precedes VBP implementation and investment</w:t>
      </w:r>
    </w:p>
    <w:p w:rsidRPr="004A4D3B" w:rsidR="00947AEC" w:rsidP="000E14D7" w:rsidRDefault="00947AEC" w14:paraId="7B2D1154" w14:textId="69E2E64B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Identification of policy, legal, or regulatory parameters that would impact VBP participation</w:t>
      </w:r>
    </w:p>
    <w:p w:rsidRPr="00947AEC" w:rsidR="009B4C5E" w:rsidP="000E14D7" w:rsidRDefault="009B4C5E" w14:paraId="453E00E5" w14:textId="2349A63F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Internal governance</w:t>
      </w:r>
      <w:r w:rsidR="00E845DA">
        <w:t xml:space="preserve"> and oversight</w:t>
      </w:r>
      <w:r>
        <w:t xml:space="preserve"> </w:t>
      </w:r>
      <w:r w:rsidR="00E845DA">
        <w:t>over empanelment and access; technology and data infrastructure; quality and equity; performance management; financial planning</w:t>
      </w:r>
      <w:r w:rsidR="002C5AC3">
        <w:t>; and</w:t>
      </w:r>
      <w:r w:rsidR="009C4D0C">
        <w:t>,</w:t>
      </w:r>
      <w:r w:rsidR="002C5AC3">
        <w:t xml:space="preserve"> payer and partner relations </w:t>
      </w:r>
      <w:r w:rsidR="00E845DA">
        <w:t xml:space="preserve"> </w:t>
      </w:r>
    </w:p>
    <w:p w:rsidRPr="00F75817" w:rsidR="00947AEC" w:rsidP="000E14D7" w:rsidRDefault="00947AEC" w14:paraId="77F6ACBB" w14:textId="78090F6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F75817">
        <w:rPr>
          <w:b/>
          <w:bCs/>
        </w:rPr>
        <w:t>Operations</w:t>
      </w:r>
    </w:p>
    <w:p w:rsidRPr="00F75817" w:rsidR="00947AEC" w:rsidP="000E14D7" w:rsidRDefault="00F75817" w14:paraId="34E79698" w14:textId="38217787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Designated staff responsible for educating health center staff about VBP and its impacts on patient care</w:t>
      </w:r>
    </w:p>
    <w:p w:rsidRPr="00F75817" w:rsidR="00F75817" w:rsidP="000E14D7" w:rsidRDefault="00F75817" w14:paraId="5D080160" w14:textId="72F98262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Designated staff responsible for negotiating VBP contracts/terms with payers</w:t>
      </w:r>
      <w:r w:rsidR="00733CE6">
        <w:t xml:space="preserve"> or accountable care entities </w:t>
      </w:r>
      <w:r>
        <w:t xml:space="preserve"> </w:t>
      </w:r>
    </w:p>
    <w:p w:rsidRPr="004A4D3B" w:rsidR="00F75817" w:rsidP="000E14D7" w:rsidRDefault="00F75817" w14:paraId="538CF0F2" w14:textId="2918A583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Designated staff to identify vendors or partners to support the VBP work and assess terms and benefits/downsides</w:t>
      </w:r>
    </w:p>
    <w:p w:rsidRPr="004A4D3B" w:rsidR="002B5B2F" w:rsidP="000E14D7" w:rsidRDefault="004D6A18" w14:paraId="11F8BF2F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 xml:space="preserve">Embedded quality improvement and equity into </w:t>
      </w:r>
      <w:r w:rsidR="000971A9">
        <w:t>population health management activities and models of care</w:t>
      </w:r>
      <w:r w:rsidR="002B5B2F">
        <w:t xml:space="preserve">. </w:t>
      </w:r>
    </w:p>
    <w:p w:rsidRPr="004A4D3B" w:rsidR="004D6A18" w:rsidP="000E14D7" w:rsidRDefault="002B5B2F" w14:paraId="27E6C1A4" w14:textId="79FACA6D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 xml:space="preserve">Defining workflows for empanelment and access management; </w:t>
      </w:r>
      <w:r w:rsidR="00BA3B14">
        <w:t>patient-centered, population</w:t>
      </w:r>
      <w:r w:rsidR="23873F72">
        <w:t>-</w:t>
      </w:r>
      <w:r w:rsidR="00BA3B14">
        <w:t xml:space="preserve">based care; behavioral and social health </w:t>
      </w:r>
    </w:p>
    <w:p w:rsidRPr="0027471C" w:rsidR="00F75817" w:rsidP="000E14D7" w:rsidRDefault="0027471C" w14:paraId="322F4A49" w14:textId="3C1D6CA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27471C">
        <w:rPr>
          <w:b/>
          <w:bCs/>
        </w:rPr>
        <w:t>Data, analytics, and technology</w:t>
      </w:r>
    </w:p>
    <w:p w:rsidRPr="0027471C" w:rsidR="0027471C" w:rsidP="000E14D7" w:rsidRDefault="0027471C" w14:paraId="47EBE47F" w14:textId="60F49D33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Ability to validate the accuracy of members attributed to or assigned under VBP contract</w:t>
      </w:r>
    </w:p>
    <w:p w:rsidRPr="0002365A" w:rsidR="0027471C" w:rsidP="000E14D7" w:rsidRDefault="0027471C" w14:paraId="5E31BD0D" w14:textId="3762C56B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Connections to local, regional, or state health information exchanges to obtain holistic data on patients (e.g., hospital discharges/admissions)</w:t>
      </w:r>
    </w:p>
    <w:p w:rsidRPr="004A4D3B" w:rsidR="0002365A" w:rsidP="000E14D7" w:rsidRDefault="0002365A" w14:paraId="0405E9C3" w14:textId="50AABF41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Development of dashboarding reports to monitor performance</w:t>
      </w:r>
      <w:r w:rsidR="00EB1C4F">
        <w:t xml:space="preserve">, and ability to benchmark practice performance against cost and performance metrics </w:t>
      </w:r>
    </w:p>
    <w:p w:rsidRPr="004A4D3B" w:rsidR="0002365A" w:rsidP="000E14D7" w:rsidRDefault="0002365A" w14:paraId="7BAA88D5" w14:textId="3E569EE1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Ability to review and validate a list of attributed members or a managed care roster against a list of patients who use care at the practice and make adjustments</w:t>
      </w:r>
    </w:p>
    <w:p w:rsidRPr="004A4D3B" w:rsidR="0007594F" w:rsidP="000E14D7" w:rsidRDefault="0007594F" w14:paraId="7964C6DD" w14:textId="5467EEE0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 xml:space="preserve">Risk adjustment and stratification </w:t>
      </w:r>
    </w:p>
    <w:p w:rsidRPr="004A4D3B" w:rsidR="00EB1C4F" w:rsidP="000E14D7" w:rsidRDefault="00EB1C4F" w14:paraId="732DFB5F" w14:textId="0D80D0D5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 xml:space="preserve">Documentation and coding </w:t>
      </w:r>
    </w:p>
    <w:p w:rsidRPr="00B21234" w:rsidR="00B21234" w:rsidP="000E14D7" w:rsidRDefault="00B21234" w14:paraId="0CAB36C1" w14:textId="74A64DC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B21234">
        <w:rPr>
          <w:b/>
          <w:bCs/>
        </w:rPr>
        <w:t>Financial</w:t>
      </w:r>
    </w:p>
    <w:p w:rsidRPr="00B74F51" w:rsidR="00B21234" w:rsidP="000E14D7" w:rsidRDefault="00B21234" w14:paraId="1F6FA104" w14:textId="4DDD1141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Ability to assess potential revenue associated with the VBP opportunity, taking into account infrastructure costs and incentive payments</w:t>
      </w:r>
    </w:p>
    <w:p w:rsidRPr="004A4D3B" w:rsidR="007560E9" w:rsidP="000E14D7" w:rsidRDefault="00B74F51" w14:paraId="437E6F24" w14:textId="1AC87FA2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Determination of methodology for allocating and apportioning any gains or losses among participating providers or health center partners</w:t>
      </w:r>
    </w:p>
    <w:p w:rsidRPr="00462859" w:rsidR="007560E9" w:rsidP="000E14D7" w:rsidRDefault="007560E9" w14:paraId="000BAC3D" w14:textId="0CDAFBC0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 xml:space="preserve">Contract management </w:t>
      </w:r>
    </w:p>
    <w:p w:rsidRPr="00462859" w:rsidR="00462859" w:rsidP="000E14D7" w:rsidRDefault="00462859" w14:paraId="46DEA1B9" w14:textId="63F2DB4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462859">
        <w:rPr>
          <w:b/>
          <w:bCs/>
        </w:rPr>
        <w:t>Payer and Partner Relations</w:t>
      </w:r>
    </w:p>
    <w:p w:rsidRPr="0070046D" w:rsidR="00462859" w:rsidP="000E14D7" w:rsidRDefault="00462859" w14:paraId="11B96F2F" w14:textId="1BD173C4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S</w:t>
      </w:r>
      <w:r w:rsidRPr="009C1A49">
        <w:t>upportive relationships with hospitals, specialists, community organizations</w:t>
      </w:r>
      <w:r w:rsidR="00F46179">
        <w:t xml:space="preserve"> to support population health management </w:t>
      </w:r>
      <w:r w:rsidR="000269BA">
        <w:t>goals</w:t>
      </w:r>
      <w:r w:rsidR="00F46179">
        <w:t xml:space="preserve">. </w:t>
      </w:r>
    </w:p>
    <w:p w:rsidRPr="004A4D3B" w:rsidR="00836A82" w:rsidP="000E14D7" w:rsidRDefault="00F2004F" w14:paraId="4DD37D3E" w14:textId="194B1AE6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Productive working relationships with IPAs, ACOs</w:t>
      </w:r>
      <w:r w:rsidR="00836A82">
        <w:t>, if applicable</w:t>
      </w:r>
    </w:p>
    <w:p w:rsidRPr="004A4D3B" w:rsidR="00F46179" w:rsidP="000E14D7" w:rsidRDefault="00836A82" w14:paraId="6B464A9D" w14:textId="5F542D91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>R</w:t>
      </w:r>
      <w:r w:rsidR="00D278C5">
        <w:t>egular data exchange</w:t>
      </w:r>
      <w:r>
        <w:t xml:space="preserve"> with external partners</w:t>
      </w:r>
      <w:r w:rsidR="00CC4D77">
        <w:t xml:space="preserve"> including on performance and cost measures.</w:t>
      </w:r>
    </w:p>
    <w:p w:rsidRPr="0070046D" w:rsidR="0070046D" w:rsidP="004A4D3B" w:rsidRDefault="00CC4D77" w14:paraId="1273E56B" w14:textId="574DCDD6">
      <w:pPr>
        <w:pStyle w:val="ListParagraph"/>
        <w:spacing w:after="0" w:line="240" w:lineRule="auto"/>
        <w:ind w:left="1440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>
        <w:t xml:space="preserve"> </w:t>
      </w:r>
      <w:r w:rsidR="00D278C5">
        <w:t xml:space="preserve"> </w:t>
      </w:r>
    </w:p>
    <w:sectPr w:rsidRPr="0070046D" w:rsidR="0070046D">
      <w:headerReference w:type="default" r:id="rId16"/>
      <w:footerReference w:type="even" r:id="rId17"/>
      <w:footerReference w:type="defaul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CF7" w:rsidP="00E87AC8" w:rsidRDefault="007F0CF7" w14:paraId="143B4575" w14:textId="77777777">
      <w:pPr>
        <w:spacing w:after="0" w:line="240" w:lineRule="auto"/>
      </w:pPr>
      <w:r>
        <w:separator/>
      </w:r>
    </w:p>
  </w:endnote>
  <w:endnote w:type="continuationSeparator" w:id="0">
    <w:p w:rsidR="007F0CF7" w:rsidP="00E87AC8" w:rsidRDefault="007F0CF7" w14:paraId="101C99DC" w14:textId="77777777">
      <w:pPr>
        <w:spacing w:after="0" w:line="240" w:lineRule="auto"/>
      </w:pPr>
      <w:r>
        <w:continuationSeparator/>
      </w:r>
    </w:p>
  </w:endnote>
  <w:endnote w:type="continuationNotice" w:id="1">
    <w:p w:rsidR="007F0CF7" w:rsidRDefault="007F0CF7" w14:paraId="2F137CF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6222486"/>
      <w:docPartObj>
        <w:docPartGallery w:val="Page Numbers (Bottom of Page)"/>
        <w:docPartUnique/>
      </w:docPartObj>
    </w:sdtPr>
    <w:sdtContent>
      <w:p w:rsidR="00347660" w:rsidRDefault="00347660" w14:paraId="33C24655" w14:textId="068AEB16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347660" w:rsidP="00347660" w:rsidRDefault="00347660" w14:paraId="3CD4335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40700259"/>
      <w:docPartObj>
        <w:docPartGallery w:val="Page Numbers (Bottom of Page)"/>
        <w:docPartUnique/>
      </w:docPartObj>
    </w:sdtPr>
    <w:sdtContent>
      <w:p w:rsidR="00347660" w:rsidRDefault="00347660" w14:paraId="09763FA5" w14:textId="056D94A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6DABDDA" w:rsidTr="36DABDDA" w14:paraId="033205AC" w14:textId="77777777">
      <w:trPr>
        <w:trHeight w:val="300"/>
      </w:trPr>
      <w:tc>
        <w:tcPr>
          <w:tcW w:w="4320" w:type="dxa"/>
        </w:tcPr>
        <w:p w:rsidR="36DABDDA" w:rsidP="00347660" w:rsidRDefault="36DABDDA" w14:paraId="13AC08B2" w14:textId="60CBAEDD">
          <w:pPr>
            <w:pStyle w:val="Header"/>
            <w:ind w:left="-115" w:right="360"/>
          </w:pPr>
        </w:p>
      </w:tc>
      <w:tc>
        <w:tcPr>
          <w:tcW w:w="4320" w:type="dxa"/>
        </w:tcPr>
        <w:p w:rsidR="36DABDDA" w:rsidP="36DABDDA" w:rsidRDefault="36DABDDA" w14:paraId="0BE4CBA4" w14:textId="7C70229A">
          <w:pPr>
            <w:pStyle w:val="Header"/>
            <w:jc w:val="center"/>
          </w:pPr>
        </w:p>
      </w:tc>
      <w:tc>
        <w:tcPr>
          <w:tcW w:w="4320" w:type="dxa"/>
        </w:tcPr>
        <w:p w:rsidR="36DABDDA" w:rsidP="36DABDDA" w:rsidRDefault="36DABDDA" w14:paraId="27EE503B" w14:textId="35E9F6AA">
          <w:pPr>
            <w:pStyle w:val="Header"/>
            <w:ind w:right="-115"/>
            <w:jc w:val="right"/>
          </w:pPr>
        </w:p>
      </w:tc>
    </w:tr>
  </w:tbl>
  <w:p w:rsidR="00DE741A" w:rsidRDefault="00DE741A" w14:paraId="76A5A769" w14:textId="6477E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CF7" w:rsidP="00E87AC8" w:rsidRDefault="007F0CF7" w14:paraId="14CCC0E6" w14:textId="77777777">
      <w:pPr>
        <w:spacing w:after="0" w:line="240" w:lineRule="auto"/>
      </w:pPr>
      <w:r>
        <w:separator/>
      </w:r>
    </w:p>
  </w:footnote>
  <w:footnote w:type="continuationSeparator" w:id="0">
    <w:p w:rsidR="007F0CF7" w:rsidP="00E87AC8" w:rsidRDefault="007F0CF7" w14:paraId="3AADBCB9" w14:textId="77777777">
      <w:pPr>
        <w:spacing w:after="0" w:line="240" w:lineRule="auto"/>
      </w:pPr>
      <w:r>
        <w:continuationSeparator/>
      </w:r>
    </w:p>
  </w:footnote>
  <w:footnote w:type="continuationNotice" w:id="1">
    <w:p w:rsidR="007F0CF7" w:rsidRDefault="007F0CF7" w14:paraId="1A84AD81" w14:textId="77777777">
      <w:pPr>
        <w:spacing w:after="0" w:line="240" w:lineRule="auto"/>
      </w:pPr>
    </w:p>
  </w:footnote>
  <w:footnote w:id="2">
    <w:p w:rsidR="00A07D74" w:rsidRDefault="00A07D74" w14:paraId="6E30E4DC" w14:textId="02AA7FB3">
      <w:pPr>
        <w:pStyle w:val="FootnoteText"/>
      </w:pPr>
      <w:r>
        <w:rPr>
          <w:rStyle w:val="FootnoteReference"/>
        </w:rPr>
        <w:footnoteRef/>
      </w:r>
      <w:r>
        <w:t xml:space="preserve"> An ACE </w:t>
      </w:r>
      <w:r w:rsidRPr="004A4D3B">
        <w:t>is a provider-led entity that enables primary care practices to take accountability for total cost of care and quality under value-based payment arrangements, while providing shared infrastructure (e.g., analytics, care management, contracting support) to help practices succeed.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081918" w:rsidR="00081918" w:rsidP="080DEDEE" w:rsidRDefault="080DEDEE" w14:paraId="7FAFCC95" w14:textId="172C03F2">
    <w:pPr>
      <w:tabs>
        <w:tab w:val="center" w:pos="4680"/>
        <w:tab w:val="right" w:pos="9360"/>
      </w:tabs>
      <w:spacing w:after="0" w:line="240" w:lineRule="auto"/>
      <w:rPr>
        <w:rFonts w:ascii="Calibri" w:hAnsi="Calibri" w:eastAsia="Calibri" w:cs="Calibri"/>
      </w:rPr>
    </w:pPr>
    <w:r>
      <w:rPr>
        <w:noProof/>
      </w:rPr>
      <w:drawing>
        <wp:inline distT="0" distB="0" distL="0" distR="0" wp14:anchorId="048680D2" wp14:editId="0F41A737">
          <wp:extent cx="1477645" cy="784860"/>
          <wp:effectExtent l="0" t="0" r="0" b="0"/>
          <wp:docPr id="1794144427" name="image1.png" descr="A logo with text overla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text overlay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645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Pr="00081918" w:rsidR="00081918" w:rsidP="080DEDEE" w:rsidRDefault="080DEDEE" w14:paraId="4C2A05DD" w14:textId="41356BB6">
    <w:pPr>
      <w:tabs>
        <w:tab w:val="center" w:pos="4680"/>
        <w:tab w:val="right" w:pos="9360"/>
      </w:tabs>
      <w:spacing w:after="0" w:line="240" w:lineRule="auto"/>
      <w:rPr>
        <w:rFonts w:ascii="Aptos" w:hAnsi="Aptos" w:eastAsia="Aptos" w:cs="Aptos"/>
      </w:rPr>
    </w:pPr>
    <w:r>
      <w:rPr>
        <w:rFonts w:ascii="Calibri" w:hAnsi="Calibri" w:eastAsia="Calibri" w:cs="Calibri"/>
      </w:rPr>
      <w:t>Equity and Practice Transformation (EPT) Payment Program</w:t>
    </w:r>
  </w:p>
  <w:p w:rsidR="00081918" w:rsidP="00081918" w:rsidRDefault="006F2B51" w14:paraId="58CE9B7F" w14:textId="0B379720">
    <w:pPr>
      <w:tabs>
        <w:tab w:val="center" w:pos="4680"/>
        <w:tab w:val="right" w:pos="9360"/>
      </w:tabs>
      <w:spacing w:after="0" w:line="240" w:lineRule="auto"/>
    </w:pPr>
    <w:r>
      <w:t>Value Based Payment (VBP) Milestone Template</w:t>
    </w:r>
  </w:p>
  <w:p w:rsidRPr="00E773BC" w:rsidR="00E773BC" w:rsidP="00081918" w:rsidRDefault="00E773BC" w14:paraId="2DD313E0" w14:textId="77777777">
    <w:pPr>
      <w:tabs>
        <w:tab w:val="center" w:pos="4680"/>
        <w:tab w:val="right" w:pos="9360"/>
      </w:tabs>
      <w:spacing w:after="0" w:line="240" w:lineRule="auto"/>
      <w:rPr>
        <w:rFonts w:ascii="Aptos" w:hAnsi="Aptos" w:eastAsia="Aptos" w:cs="Apto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55F"/>
    <w:multiLevelType w:val="hybridMultilevel"/>
    <w:tmpl w:val="BEE62A3C"/>
    <w:lvl w:ilvl="0" w:tplc="793C8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9A8"/>
    <w:multiLevelType w:val="hybridMultilevel"/>
    <w:tmpl w:val="B030C684"/>
    <w:lvl w:ilvl="0" w:tplc="04090001">
      <w:start w:val="1"/>
      <w:numFmt w:val="bullet"/>
      <w:lvlText w:val=""/>
      <w:lvlJc w:val="left"/>
      <w:pPr>
        <w:ind w:left="775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35F9"/>
    <w:multiLevelType w:val="hybridMultilevel"/>
    <w:tmpl w:val="436036AC"/>
    <w:lvl w:ilvl="0" w:tplc="B30ECB9C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24"/>
        <w:szCs w:val="24"/>
      </w:rPr>
    </w:lvl>
    <w:lvl w:ilvl="1" w:tplc="E50A31C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A6DBE"/>
    <w:multiLevelType w:val="hybridMultilevel"/>
    <w:tmpl w:val="9E4EB4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4A69BE"/>
    <w:multiLevelType w:val="hybridMultilevel"/>
    <w:tmpl w:val="8A846440"/>
    <w:lvl w:ilvl="0" w:tplc="FFFFFFFF">
      <w:start w:val="1"/>
      <w:numFmt w:val="bullet"/>
      <w:lvlText w:val=""/>
      <w:lvlJc w:val="left"/>
      <w:pPr>
        <w:ind w:left="775" w:hanging="360"/>
      </w:pPr>
      <w:rPr>
        <w:rFonts w:hint="default" w:ascii="Symbol" w:hAnsi="Symbol"/>
      </w:rPr>
    </w:lvl>
    <w:lvl w:ilvl="1" w:tplc="A0928E66">
      <w:start w:val="1"/>
      <w:numFmt w:val="bullet"/>
      <w:lvlText w:val="-"/>
      <w:lvlJc w:val="left"/>
      <w:pPr>
        <w:ind w:left="1495" w:hanging="360"/>
      </w:pPr>
      <w:rPr>
        <w:rFonts w:hint="default" w:ascii="Aptos" w:hAnsi="Aptos"/>
      </w:rPr>
    </w:lvl>
    <w:lvl w:ilvl="2" w:tplc="FFFFFFFF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5" w15:restartNumberingAfterBreak="0">
    <w:nsid w:val="2C8C454A"/>
    <w:multiLevelType w:val="hybridMultilevel"/>
    <w:tmpl w:val="5910358E"/>
    <w:lvl w:ilvl="0" w:tplc="FFFFFFFF">
      <w:start w:val="1"/>
      <w:numFmt w:val="bullet"/>
      <w:lvlText w:val=""/>
      <w:lvlJc w:val="left"/>
      <w:pPr>
        <w:ind w:left="77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6" w15:restartNumberingAfterBreak="0">
    <w:nsid w:val="2F90609E"/>
    <w:multiLevelType w:val="hybridMultilevel"/>
    <w:tmpl w:val="E18090FA"/>
    <w:lvl w:ilvl="0" w:tplc="BEDEE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B1911"/>
    <w:multiLevelType w:val="multilevel"/>
    <w:tmpl w:val="1CE4AF40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color w:val="007BB8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C10BF"/>
    <w:multiLevelType w:val="multilevel"/>
    <w:tmpl w:val="80A239C2"/>
    <w:styleLink w:val="CurrentList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31367"/>
    <w:multiLevelType w:val="hybridMultilevel"/>
    <w:tmpl w:val="986E302E"/>
    <w:lvl w:ilvl="0" w:tplc="C3807768">
      <w:start w:val="1"/>
      <w:numFmt w:val="upperLetter"/>
      <w:lvlText w:val="%1."/>
      <w:lvlJc w:val="left"/>
      <w:pPr>
        <w:ind w:left="720" w:hanging="360"/>
      </w:pPr>
      <w:rPr>
        <w:b/>
        <w:bCs/>
        <w:color w:val="007BB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F726B"/>
    <w:multiLevelType w:val="hybridMultilevel"/>
    <w:tmpl w:val="966420D2"/>
    <w:lvl w:ilvl="0" w:tplc="5C384A32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409C3"/>
    <w:multiLevelType w:val="hybridMultilevel"/>
    <w:tmpl w:val="27E28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E7F50"/>
    <w:multiLevelType w:val="hybridMultilevel"/>
    <w:tmpl w:val="C776ABFA"/>
    <w:lvl w:ilvl="0" w:tplc="04090001">
      <w:start w:val="1"/>
      <w:numFmt w:val="bullet"/>
      <w:lvlText w:val=""/>
      <w:lvlJc w:val="left"/>
      <w:pPr>
        <w:ind w:left="77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num w:numId="1" w16cid:durableId="1466701821">
    <w:abstractNumId w:val="11"/>
  </w:num>
  <w:num w:numId="2" w16cid:durableId="376245484">
    <w:abstractNumId w:val="12"/>
  </w:num>
  <w:num w:numId="3" w16cid:durableId="1155754459">
    <w:abstractNumId w:val="2"/>
  </w:num>
  <w:num w:numId="4" w16cid:durableId="1580014829">
    <w:abstractNumId w:val="9"/>
  </w:num>
  <w:num w:numId="5" w16cid:durableId="1725449593">
    <w:abstractNumId w:val="7"/>
  </w:num>
  <w:num w:numId="6" w16cid:durableId="385687338">
    <w:abstractNumId w:val="1"/>
  </w:num>
  <w:num w:numId="7" w16cid:durableId="510335157">
    <w:abstractNumId w:val="8"/>
  </w:num>
  <w:num w:numId="8" w16cid:durableId="986011109">
    <w:abstractNumId w:val="10"/>
  </w:num>
  <w:num w:numId="9" w16cid:durableId="1085567958">
    <w:abstractNumId w:val="3"/>
  </w:num>
  <w:num w:numId="10" w16cid:durableId="1678654492">
    <w:abstractNumId w:val="4"/>
  </w:num>
  <w:num w:numId="11" w16cid:durableId="399254177">
    <w:abstractNumId w:val="0"/>
  </w:num>
  <w:num w:numId="12" w16cid:durableId="1999531531">
    <w:abstractNumId w:val="6"/>
  </w:num>
  <w:num w:numId="13" w16cid:durableId="190810950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D2"/>
    <w:rsid w:val="00001D55"/>
    <w:rsid w:val="00001F96"/>
    <w:rsid w:val="000030F9"/>
    <w:rsid w:val="00003250"/>
    <w:rsid w:val="00005271"/>
    <w:rsid w:val="00005701"/>
    <w:rsid w:val="00007C5A"/>
    <w:rsid w:val="000103E7"/>
    <w:rsid w:val="00012EB3"/>
    <w:rsid w:val="00013D46"/>
    <w:rsid w:val="0001420B"/>
    <w:rsid w:val="000152BE"/>
    <w:rsid w:val="0001639E"/>
    <w:rsid w:val="0002077E"/>
    <w:rsid w:val="00022699"/>
    <w:rsid w:val="00022FAA"/>
    <w:rsid w:val="000235B4"/>
    <w:rsid w:val="0002365A"/>
    <w:rsid w:val="000269BA"/>
    <w:rsid w:val="000344C6"/>
    <w:rsid w:val="000346E5"/>
    <w:rsid w:val="00035771"/>
    <w:rsid w:val="0003769E"/>
    <w:rsid w:val="0004530F"/>
    <w:rsid w:val="00051556"/>
    <w:rsid w:val="00051C37"/>
    <w:rsid w:val="00051E9E"/>
    <w:rsid w:val="00053E37"/>
    <w:rsid w:val="000574D1"/>
    <w:rsid w:val="0005783E"/>
    <w:rsid w:val="00063634"/>
    <w:rsid w:val="00064E37"/>
    <w:rsid w:val="00066BBE"/>
    <w:rsid w:val="0007147A"/>
    <w:rsid w:val="0007594F"/>
    <w:rsid w:val="000766CE"/>
    <w:rsid w:val="000801BC"/>
    <w:rsid w:val="00080B7A"/>
    <w:rsid w:val="00080F2F"/>
    <w:rsid w:val="00081918"/>
    <w:rsid w:val="000843F5"/>
    <w:rsid w:val="00084843"/>
    <w:rsid w:val="00086AD9"/>
    <w:rsid w:val="000874ED"/>
    <w:rsid w:val="0009160A"/>
    <w:rsid w:val="00094041"/>
    <w:rsid w:val="00095EF8"/>
    <w:rsid w:val="000971A9"/>
    <w:rsid w:val="000A0063"/>
    <w:rsid w:val="000A2074"/>
    <w:rsid w:val="000A2505"/>
    <w:rsid w:val="000B06A6"/>
    <w:rsid w:val="000B20FB"/>
    <w:rsid w:val="000B2FC4"/>
    <w:rsid w:val="000B306F"/>
    <w:rsid w:val="000B3501"/>
    <w:rsid w:val="000B3F1E"/>
    <w:rsid w:val="000B41BF"/>
    <w:rsid w:val="000B4FCB"/>
    <w:rsid w:val="000B51B3"/>
    <w:rsid w:val="000B5AAA"/>
    <w:rsid w:val="000B7AF0"/>
    <w:rsid w:val="000B7CAD"/>
    <w:rsid w:val="000B7E84"/>
    <w:rsid w:val="000C13DF"/>
    <w:rsid w:val="000C4762"/>
    <w:rsid w:val="000D0E91"/>
    <w:rsid w:val="000D283B"/>
    <w:rsid w:val="000D47AF"/>
    <w:rsid w:val="000D549F"/>
    <w:rsid w:val="000D5FD4"/>
    <w:rsid w:val="000E14D7"/>
    <w:rsid w:val="000E2E7A"/>
    <w:rsid w:val="000F1A26"/>
    <w:rsid w:val="000F2059"/>
    <w:rsid w:val="000F394D"/>
    <w:rsid w:val="000F45A0"/>
    <w:rsid w:val="0010089D"/>
    <w:rsid w:val="001009EC"/>
    <w:rsid w:val="001051BD"/>
    <w:rsid w:val="0011182B"/>
    <w:rsid w:val="00112EC4"/>
    <w:rsid w:val="001131C5"/>
    <w:rsid w:val="00113D3D"/>
    <w:rsid w:val="00114E2D"/>
    <w:rsid w:val="00116482"/>
    <w:rsid w:val="001178EA"/>
    <w:rsid w:val="001204E6"/>
    <w:rsid w:val="001205E0"/>
    <w:rsid w:val="00121171"/>
    <w:rsid w:val="00123093"/>
    <w:rsid w:val="00123CC6"/>
    <w:rsid w:val="00124CD5"/>
    <w:rsid w:val="001258CE"/>
    <w:rsid w:val="0012763A"/>
    <w:rsid w:val="00136F52"/>
    <w:rsid w:val="00141316"/>
    <w:rsid w:val="0014339D"/>
    <w:rsid w:val="00144D0D"/>
    <w:rsid w:val="00146C29"/>
    <w:rsid w:val="001532FC"/>
    <w:rsid w:val="00153B84"/>
    <w:rsid w:val="0015516B"/>
    <w:rsid w:val="001563C3"/>
    <w:rsid w:val="00156C43"/>
    <w:rsid w:val="001611ED"/>
    <w:rsid w:val="00162FEC"/>
    <w:rsid w:val="00170861"/>
    <w:rsid w:val="0017109A"/>
    <w:rsid w:val="001718B0"/>
    <w:rsid w:val="00176FB9"/>
    <w:rsid w:val="0018351B"/>
    <w:rsid w:val="00183888"/>
    <w:rsid w:val="00183D06"/>
    <w:rsid w:val="00184A71"/>
    <w:rsid w:val="00187557"/>
    <w:rsid w:val="001876AB"/>
    <w:rsid w:val="0019313C"/>
    <w:rsid w:val="0019332E"/>
    <w:rsid w:val="00194BCB"/>
    <w:rsid w:val="00196B15"/>
    <w:rsid w:val="00197B70"/>
    <w:rsid w:val="001A7C62"/>
    <w:rsid w:val="001B07AD"/>
    <w:rsid w:val="001B1F78"/>
    <w:rsid w:val="001B3881"/>
    <w:rsid w:val="001B4BFA"/>
    <w:rsid w:val="001C3B5A"/>
    <w:rsid w:val="001C475B"/>
    <w:rsid w:val="001C47B7"/>
    <w:rsid w:val="001C59B4"/>
    <w:rsid w:val="001C6C32"/>
    <w:rsid w:val="001D1CA5"/>
    <w:rsid w:val="001D5F02"/>
    <w:rsid w:val="001D7E47"/>
    <w:rsid w:val="001E0DC3"/>
    <w:rsid w:val="001E2B2C"/>
    <w:rsid w:val="001E6927"/>
    <w:rsid w:val="001E6F2C"/>
    <w:rsid w:val="001F373C"/>
    <w:rsid w:val="001F577F"/>
    <w:rsid w:val="001F75DA"/>
    <w:rsid w:val="002003AD"/>
    <w:rsid w:val="002034AB"/>
    <w:rsid w:val="00211BB3"/>
    <w:rsid w:val="00216030"/>
    <w:rsid w:val="00222945"/>
    <w:rsid w:val="00230840"/>
    <w:rsid w:val="002313C1"/>
    <w:rsid w:val="002326D1"/>
    <w:rsid w:val="00233691"/>
    <w:rsid w:val="00233A66"/>
    <w:rsid w:val="00234705"/>
    <w:rsid w:val="0023526B"/>
    <w:rsid w:val="0023544D"/>
    <w:rsid w:val="002376D9"/>
    <w:rsid w:val="00242EF5"/>
    <w:rsid w:val="00244902"/>
    <w:rsid w:val="00246F19"/>
    <w:rsid w:val="00250696"/>
    <w:rsid w:val="00260D4D"/>
    <w:rsid w:val="0026117C"/>
    <w:rsid w:val="00261797"/>
    <w:rsid w:val="002705A9"/>
    <w:rsid w:val="00270C8E"/>
    <w:rsid w:val="00270DB8"/>
    <w:rsid w:val="00272010"/>
    <w:rsid w:val="002722C8"/>
    <w:rsid w:val="0027471C"/>
    <w:rsid w:val="00274822"/>
    <w:rsid w:val="00274D2C"/>
    <w:rsid w:val="00282605"/>
    <w:rsid w:val="00282AC8"/>
    <w:rsid w:val="002836BF"/>
    <w:rsid w:val="002849C5"/>
    <w:rsid w:val="00287326"/>
    <w:rsid w:val="00296050"/>
    <w:rsid w:val="00296743"/>
    <w:rsid w:val="00296E18"/>
    <w:rsid w:val="00296E69"/>
    <w:rsid w:val="002A2966"/>
    <w:rsid w:val="002A29FE"/>
    <w:rsid w:val="002A3D8F"/>
    <w:rsid w:val="002A445F"/>
    <w:rsid w:val="002A66F6"/>
    <w:rsid w:val="002B1776"/>
    <w:rsid w:val="002B331A"/>
    <w:rsid w:val="002B5B2F"/>
    <w:rsid w:val="002C19D2"/>
    <w:rsid w:val="002C25DE"/>
    <w:rsid w:val="002C2BBB"/>
    <w:rsid w:val="002C44E8"/>
    <w:rsid w:val="002C4CBE"/>
    <w:rsid w:val="002C541C"/>
    <w:rsid w:val="002C5AC3"/>
    <w:rsid w:val="002C654F"/>
    <w:rsid w:val="002D46AF"/>
    <w:rsid w:val="002D7401"/>
    <w:rsid w:val="002E06E8"/>
    <w:rsid w:val="002E670F"/>
    <w:rsid w:val="002F3A06"/>
    <w:rsid w:val="002F66A4"/>
    <w:rsid w:val="003018C6"/>
    <w:rsid w:val="00302975"/>
    <w:rsid w:val="00302B28"/>
    <w:rsid w:val="00305E59"/>
    <w:rsid w:val="0031105B"/>
    <w:rsid w:val="00312C87"/>
    <w:rsid w:val="0032657C"/>
    <w:rsid w:val="00326D8C"/>
    <w:rsid w:val="0032796A"/>
    <w:rsid w:val="00332D9F"/>
    <w:rsid w:val="003333CD"/>
    <w:rsid w:val="00333732"/>
    <w:rsid w:val="00333C10"/>
    <w:rsid w:val="00333FB1"/>
    <w:rsid w:val="003418BF"/>
    <w:rsid w:val="00347660"/>
    <w:rsid w:val="00347771"/>
    <w:rsid w:val="00347DBD"/>
    <w:rsid w:val="00352B23"/>
    <w:rsid w:val="00353696"/>
    <w:rsid w:val="00353DF6"/>
    <w:rsid w:val="00357538"/>
    <w:rsid w:val="00364C48"/>
    <w:rsid w:val="003653B4"/>
    <w:rsid w:val="00365541"/>
    <w:rsid w:val="00366515"/>
    <w:rsid w:val="003719EF"/>
    <w:rsid w:val="003735C7"/>
    <w:rsid w:val="0037632C"/>
    <w:rsid w:val="00380D56"/>
    <w:rsid w:val="00381C85"/>
    <w:rsid w:val="00390030"/>
    <w:rsid w:val="00390BB0"/>
    <w:rsid w:val="003913F7"/>
    <w:rsid w:val="0039560C"/>
    <w:rsid w:val="00395E7A"/>
    <w:rsid w:val="003A66A5"/>
    <w:rsid w:val="003B642D"/>
    <w:rsid w:val="003B7275"/>
    <w:rsid w:val="003C0A9C"/>
    <w:rsid w:val="003C2F5E"/>
    <w:rsid w:val="003C35E0"/>
    <w:rsid w:val="003C4622"/>
    <w:rsid w:val="003C473B"/>
    <w:rsid w:val="003C73C1"/>
    <w:rsid w:val="003C79FE"/>
    <w:rsid w:val="003D022B"/>
    <w:rsid w:val="003D0866"/>
    <w:rsid w:val="003D288D"/>
    <w:rsid w:val="003D3574"/>
    <w:rsid w:val="003D54DC"/>
    <w:rsid w:val="003E22F4"/>
    <w:rsid w:val="003E2D4A"/>
    <w:rsid w:val="003E4139"/>
    <w:rsid w:val="003E4B93"/>
    <w:rsid w:val="003F0FF8"/>
    <w:rsid w:val="003F5B5B"/>
    <w:rsid w:val="00405C0F"/>
    <w:rsid w:val="00407701"/>
    <w:rsid w:val="00413B55"/>
    <w:rsid w:val="00415328"/>
    <w:rsid w:val="00420A28"/>
    <w:rsid w:val="00420F61"/>
    <w:rsid w:val="004257F2"/>
    <w:rsid w:val="00426ECA"/>
    <w:rsid w:val="00432088"/>
    <w:rsid w:val="00435476"/>
    <w:rsid w:val="00437557"/>
    <w:rsid w:val="00440977"/>
    <w:rsid w:val="0044481D"/>
    <w:rsid w:val="004453C8"/>
    <w:rsid w:val="00445464"/>
    <w:rsid w:val="00451606"/>
    <w:rsid w:val="004519C8"/>
    <w:rsid w:val="00452C01"/>
    <w:rsid w:val="00453E29"/>
    <w:rsid w:val="00457140"/>
    <w:rsid w:val="00460A2B"/>
    <w:rsid w:val="00462859"/>
    <w:rsid w:val="004640A9"/>
    <w:rsid w:val="004657D4"/>
    <w:rsid w:val="00466389"/>
    <w:rsid w:val="00466EF0"/>
    <w:rsid w:val="00471DF2"/>
    <w:rsid w:val="00471EA9"/>
    <w:rsid w:val="004725DC"/>
    <w:rsid w:val="004736B9"/>
    <w:rsid w:val="00473A66"/>
    <w:rsid w:val="004818C1"/>
    <w:rsid w:val="00483996"/>
    <w:rsid w:val="004933D3"/>
    <w:rsid w:val="00493840"/>
    <w:rsid w:val="004A0A01"/>
    <w:rsid w:val="004A2C67"/>
    <w:rsid w:val="004A30EF"/>
    <w:rsid w:val="004A3A71"/>
    <w:rsid w:val="004A3FA2"/>
    <w:rsid w:val="004A4BBA"/>
    <w:rsid w:val="004A4D3B"/>
    <w:rsid w:val="004B1D5D"/>
    <w:rsid w:val="004B26E2"/>
    <w:rsid w:val="004B68DA"/>
    <w:rsid w:val="004C15C4"/>
    <w:rsid w:val="004C1FA6"/>
    <w:rsid w:val="004C28F2"/>
    <w:rsid w:val="004C318B"/>
    <w:rsid w:val="004C32AC"/>
    <w:rsid w:val="004C46A2"/>
    <w:rsid w:val="004C51C6"/>
    <w:rsid w:val="004C7F5F"/>
    <w:rsid w:val="004D3F73"/>
    <w:rsid w:val="004D6A18"/>
    <w:rsid w:val="004D6D6A"/>
    <w:rsid w:val="004D7A9B"/>
    <w:rsid w:val="004E05D1"/>
    <w:rsid w:val="004E4262"/>
    <w:rsid w:val="004E4FEE"/>
    <w:rsid w:val="004E51EA"/>
    <w:rsid w:val="004E5FA7"/>
    <w:rsid w:val="004E695E"/>
    <w:rsid w:val="004F1C4B"/>
    <w:rsid w:val="004F3570"/>
    <w:rsid w:val="004F381C"/>
    <w:rsid w:val="004F4429"/>
    <w:rsid w:val="005017DE"/>
    <w:rsid w:val="00504A9A"/>
    <w:rsid w:val="00504BC8"/>
    <w:rsid w:val="00514673"/>
    <w:rsid w:val="00516364"/>
    <w:rsid w:val="00520FCF"/>
    <w:rsid w:val="00525FCE"/>
    <w:rsid w:val="005336E9"/>
    <w:rsid w:val="0053374C"/>
    <w:rsid w:val="00545587"/>
    <w:rsid w:val="005515BB"/>
    <w:rsid w:val="005572BA"/>
    <w:rsid w:val="00565C5A"/>
    <w:rsid w:val="00565FEF"/>
    <w:rsid w:val="00566C99"/>
    <w:rsid w:val="00567DDB"/>
    <w:rsid w:val="005718CE"/>
    <w:rsid w:val="00572AA9"/>
    <w:rsid w:val="00580615"/>
    <w:rsid w:val="00582547"/>
    <w:rsid w:val="005840FF"/>
    <w:rsid w:val="0059026B"/>
    <w:rsid w:val="005929A5"/>
    <w:rsid w:val="00592C75"/>
    <w:rsid w:val="00594B77"/>
    <w:rsid w:val="005952F9"/>
    <w:rsid w:val="00595691"/>
    <w:rsid w:val="00597178"/>
    <w:rsid w:val="005A047F"/>
    <w:rsid w:val="005A20C6"/>
    <w:rsid w:val="005A4015"/>
    <w:rsid w:val="005A4C3C"/>
    <w:rsid w:val="005A6C02"/>
    <w:rsid w:val="005A6CAA"/>
    <w:rsid w:val="005B2976"/>
    <w:rsid w:val="005B2CC7"/>
    <w:rsid w:val="005B527F"/>
    <w:rsid w:val="005B5283"/>
    <w:rsid w:val="005B532B"/>
    <w:rsid w:val="005B5F66"/>
    <w:rsid w:val="005B6303"/>
    <w:rsid w:val="005B7F8E"/>
    <w:rsid w:val="005C09C0"/>
    <w:rsid w:val="005C1566"/>
    <w:rsid w:val="005D25B4"/>
    <w:rsid w:val="005D3675"/>
    <w:rsid w:val="005D7A78"/>
    <w:rsid w:val="005E2CD5"/>
    <w:rsid w:val="005E51F9"/>
    <w:rsid w:val="005E5C06"/>
    <w:rsid w:val="005E6870"/>
    <w:rsid w:val="005E6A63"/>
    <w:rsid w:val="005F0B71"/>
    <w:rsid w:val="005F2C54"/>
    <w:rsid w:val="00601609"/>
    <w:rsid w:val="00606913"/>
    <w:rsid w:val="00610D5C"/>
    <w:rsid w:val="00615A77"/>
    <w:rsid w:val="00617565"/>
    <w:rsid w:val="0062471C"/>
    <w:rsid w:val="0062637A"/>
    <w:rsid w:val="006264C9"/>
    <w:rsid w:val="006319A6"/>
    <w:rsid w:val="006348E4"/>
    <w:rsid w:val="006357CD"/>
    <w:rsid w:val="00640588"/>
    <w:rsid w:val="006422ED"/>
    <w:rsid w:val="00643535"/>
    <w:rsid w:val="00643F14"/>
    <w:rsid w:val="00644170"/>
    <w:rsid w:val="0064712B"/>
    <w:rsid w:val="006472A3"/>
    <w:rsid w:val="006478DD"/>
    <w:rsid w:val="00657B36"/>
    <w:rsid w:val="00660C32"/>
    <w:rsid w:val="00662F42"/>
    <w:rsid w:val="006635A8"/>
    <w:rsid w:val="0066480E"/>
    <w:rsid w:val="00664F1B"/>
    <w:rsid w:val="00667055"/>
    <w:rsid w:val="00672F73"/>
    <w:rsid w:val="006730C6"/>
    <w:rsid w:val="00673F74"/>
    <w:rsid w:val="00680226"/>
    <w:rsid w:val="0068038B"/>
    <w:rsid w:val="006817F7"/>
    <w:rsid w:val="00682F08"/>
    <w:rsid w:val="0068325E"/>
    <w:rsid w:val="0068344B"/>
    <w:rsid w:val="0068452C"/>
    <w:rsid w:val="00691A39"/>
    <w:rsid w:val="00696E9B"/>
    <w:rsid w:val="006A2780"/>
    <w:rsid w:val="006A6FEB"/>
    <w:rsid w:val="006A7BF3"/>
    <w:rsid w:val="006B3F56"/>
    <w:rsid w:val="006C0FDF"/>
    <w:rsid w:val="006C28B0"/>
    <w:rsid w:val="006C4D03"/>
    <w:rsid w:val="006D2153"/>
    <w:rsid w:val="006D7CDD"/>
    <w:rsid w:val="006E049C"/>
    <w:rsid w:val="006E44B5"/>
    <w:rsid w:val="006F09C6"/>
    <w:rsid w:val="006F1740"/>
    <w:rsid w:val="006F2405"/>
    <w:rsid w:val="006F2B51"/>
    <w:rsid w:val="006F2CDE"/>
    <w:rsid w:val="006F4D74"/>
    <w:rsid w:val="006F5E6F"/>
    <w:rsid w:val="006F7196"/>
    <w:rsid w:val="0070046D"/>
    <w:rsid w:val="00700EB5"/>
    <w:rsid w:val="00702B8C"/>
    <w:rsid w:val="00703D75"/>
    <w:rsid w:val="00705464"/>
    <w:rsid w:val="00705915"/>
    <w:rsid w:val="007069FA"/>
    <w:rsid w:val="0071498A"/>
    <w:rsid w:val="00714E56"/>
    <w:rsid w:val="007157CF"/>
    <w:rsid w:val="00717FF8"/>
    <w:rsid w:val="00720C98"/>
    <w:rsid w:val="0072664B"/>
    <w:rsid w:val="00733CE6"/>
    <w:rsid w:val="00735C4D"/>
    <w:rsid w:val="00743A9E"/>
    <w:rsid w:val="00750BEA"/>
    <w:rsid w:val="0075169F"/>
    <w:rsid w:val="00751DCB"/>
    <w:rsid w:val="0075298F"/>
    <w:rsid w:val="00753BFF"/>
    <w:rsid w:val="00753DA6"/>
    <w:rsid w:val="007560E9"/>
    <w:rsid w:val="00760580"/>
    <w:rsid w:val="00761780"/>
    <w:rsid w:val="00763C47"/>
    <w:rsid w:val="0076541A"/>
    <w:rsid w:val="00767957"/>
    <w:rsid w:val="00770684"/>
    <w:rsid w:val="00772B35"/>
    <w:rsid w:val="00773824"/>
    <w:rsid w:val="00773842"/>
    <w:rsid w:val="00774CEE"/>
    <w:rsid w:val="00775772"/>
    <w:rsid w:val="00776E44"/>
    <w:rsid w:val="00781704"/>
    <w:rsid w:val="00793898"/>
    <w:rsid w:val="007951E6"/>
    <w:rsid w:val="007A0FAC"/>
    <w:rsid w:val="007A3A1E"/>
    <w:rsid w:val="007A418E"/>
    <w:rsid w:val="007A6E53"/>
    <w:rsid w:val="007B041D"/>
    <w:rsid w:val="007B09F4"/>
    <w:rsid w:val="007B17B5"/>
    <w:rsid w:val="007B56E9"/>
    <w:rsid w:val="007B73B9"/>
    <w:rsid w:val="007B7960"/>
    <w:rsid w:val="007C0013"/>
    <w:rsid w:val="007C20AA"/>
    <w:rsid w:val="007C25FD"/>
    <w:rsid w:val="007C618D"/>
    <w:rsid w:val="007D1CFD"/>
    <w:rsid w:val="007D2208"/>
    <w:rsid w:val="007D4D88"/>
    <w:rsid w:val="007D63E0"/>
    <w:rsid w:val="007D6939"/>
    <w:rsid w:val="007E3831"/>
    <w:rsid w:val="007F0CF7"/>
    <w:rsid w:val="007F1043"/>
    <w:rsid w:val="007F6703"/>
    <w:rsid w:val="007F74FD"/>
    <w:rsid w:val="007F7841"/>
    <w:rsid w:val="0080385F"/>
    <w:rsid w:val="00805013"/>
    <w:rsid w:val="008114A0"/>
    <w:rsid w:val="00812159"/>
    <w:rsid w:val="00815123"/>
    <w:rsid w:val="0081683F"/>
    <w:rsid w:val="00817978"/>
    <w:rsid w:val="008200E0"/>
    <w:rsid w:val="00820932"/>
    <w:rsid w:val="008235EF"/>
    <w:rsid w:val="00825097"/>
    <w:rsid w:val="008314E3"/>
    <w:rsid w:val="008340E4"/>
    <w:rsid w:val="00834173"/>
    <w:rsid w:val="00834612"/>
    <w:rsid w:val="00835A9A"/>
    <w:rsid w:val="00836A82"/>
    <w:rsid w:val="0084392A"/>
    <w:rsid w:val="00843AAB"/>
    <w:rsid w:val="00844557"/>
    <w:rsid w:val="00852462"/>
    <w:rsid w:val="008534A6"/>
    <w:rsid w:val="00854324"/>
    <w:rsid w:val="008623E7"/>
    <w:rsid w:val="00864D9E"/>
    <w:rsid w:val="008655A2"/>
    <w:rsid w:val="008712C8"/>
    <w:rsid w:val="0087165E"/>
    <w:rsid w:val="00871E75"/>
    <w:rsid w:val="00880C58"/>
    <w:rsid w:val="0089153B"/>
    <w:rsid w:val="00891D45"/>
    <w:rsid w:val="00893B99"/>
    <w:rsid w:val="008A16A2"/>
    <w:rsid w:val="008A50C2"/>
    <w:rsid w:val="008A6B48"/>
    <w:rsid w:val="008B15CA"/>
    <w:rsid w:val="008B372C"/>
    <w:rsid w:val="008B3B32"/>
    <w:rsid w:val="008D3E13"/>
    <w:rsid w:val="008D4521"/>
    <w:rsid w:val="008D7152"/>
    <w:rsid w:val="008E0083"/>
    <w:rsid w:val="008E0FC3"/>
    <w:rsid w:val="008E4898"/>
    <w:rsid w:val="008E524B"/>
    <w:rsid w:val="008E593C"/>
    <w:rsid w:val="008E7C5A"/>
    <w:rsid w:val="008F0F86"/>
    <w:rsid w:val="008F1845"/>
    <w:rsid w:val="008F2DF2"/>
    <w:rsid w:val="008F6D70"/>
    <w:rsid w:val="008F7ECD"/>
    <w:rsid w:val="00900140"/>
    <w:rsid w:val="00900442"/>
    <w:rsid w:val="0090199A"/>
    <w:rsid w:val="00902C57"/>
    <w:rsid w:val="00903289"/>
    <w:rsid w:val="009055F6"/>
    <w:rsid w:val="0091425A"/>
    <w:rsid w:val="0091727D"/>
    <w:rsid w:val="00921CDC"/>
    <w:rsid w:val="00925DF9"/>
    <w:rsid w:val="0093074F"/>
    <w:rsid w:val="009326C3"/>
    <w:rsid w:val="0093687E"/>
    <w:rsid w:val="00943915"/>
    <w:rsid w:val="00946472"/>
    <w:rsid w:val="00947AEC"/>
    <w:rsid w:val="00947BDF"/>
    <w:rsid w:val="00953AE4"/>
    <w:rsid w:val="009600FB"/>
    <w:rsid w:val="009607A0"/>
    <w:rsid w:val="00963E1A"/>
    <w:rsid w:val="009650D9"/>
    <w:rsid w:val="009706EF"/>
    <w:rsid w:val="009724C2"/>
    <w:rsid w:val="00975BE6"/>
    <w:rsid w:val="00982641"/>
    <w:rsid w:val="00983A1E"/>
    <w:rsid w:val="00986DDE"/>
    <w:rsid w:val="009A141A"/>
    <w:rsid w:val="009A23A5"/>
    <w:rsid w:val="009A3BE4"/>
    <w:rsid w:val="009A4D46"/>
    <w:rsid w:val="009A5108"/>
    <w:rsid w:val="009B1309"/>
    <w:rsid w:val="009B210E"/>
    <w:rsid w:val="009B4C5E"/>
    <w:rsid w:val="009B5554"/>
    <w:rsid w:val="009C04B5"/>
    <w:rsid w:val="009C1A49"/>
    <w:rsid w:val="009C4D0C"/>
    <w:rsid w:val="009D0B61"/>
    <w:rsid w:val="009D1A8B"/>
    <w:rsid w:val="009D2071"/>
    <w:rsid w:val="009D3BA0"/>
    <w:rsid w:val="009D43A3"/>
    <w:rsid w:val="009D5CFF"/>
    <w:rsid w:val="009E2FEB"/>
    <w:rsid w:val="009E4688"/>
    <w:rsid w:val="009F218C"/>
    <w:rsid w:val="009F411D"/>
    <w:rsid w:val="009F71F7"/>
    <w:rsid w:val="00A0408C"/>
    <w:rsid w:val="00A0420E"/>
    <w:rsid w:val="00A042FC"/>
    <w:rsid w:val="00A05021"/>
    <w:rsid w:val="00A07B30"/>
    <w:rsid w:val="00A07D74"/>
    <w:rsid w:val="00A10558"/>
    <w:rsid w:val="00A20C04"/>
    <w:rsid w:val="00A210B7"/>
    <w:rsid w:val="00A21151"/>
    <w:rsid w:val="00A25E13"/>
    <w:rsid w:val="00A2619C"/>
    <w:rsid w:val="00A2739A"/>
    <w:rsid w:val="00A32238"/>
    <w:rsid w:val="00A33932"/>
    <w:rsid w:val="00A374B7"/>
    <w:rsid w:val="00A3764D"/>
    <w:rsid w:val="00A402D3"/>
    <w:rsid w:val="00A412A9"/>
    <w:rsid w:val="00A41827"/>
    <w:rsid w:val="00A42BAA"/>
    <w:rsid w:val="00A43DC7"/>
    <w:rsid w:val="00A43E46"/>
    <w:rsid w:val="00A44D20"/>
    <w:rsid w:val="00A45EF7"/>
    <w:rsid w:val="00A46C2A"/>
    <w:rsid w:val="00A50D3A"/>
    <w:rsid w:val="00A524DE"/>
    <w:rsid w:val="00A54064"/>
    <w:rsid w:val="00A572B7"/>
    <w:rsid w:val="00A5761E"/>
    <w:rsid w:val="00A57AEA"/>
    <w:rsid w:val="00A621E7"/>
    <w:rsid w:val="00A62984"/>
    <w:rsid w:val="00A6574F"/>
    <w:rsid w:val="00A65957"/>
    <w:rsid w:val="00A67F8D"/>
    <w:rsid w:val="00A7149A"/>
    <w:rsid w:val="00A76403"/>
    <w:rsid w:val="00A7751E"/>
    <w:rsid w:val="00A8404C"/>
    <w:rsid w:val="00A92123"/>
    <w:rsid w:val="00A92BEA"/>
    <w:rsid w:val="00A94536"/>
    <w:rsid w:val="00A954AF"/>
    <w:rsid w:val="00A95671"/>
    <w:rsid w:val="00A96856"/>
    <w:rsid w:val="00A97B77"/>
    <w:rsid w:val="00AA11BB"/>
    <w:rsid w:val="00AA220E"/>
    <w:rsid w:val="00AA62EC"/>
    <w:rsid w:val="00AB01EF"/>
    <w:rsid w:val="00AB0A8D"/>
    <w:rsid w:val="00AB3B76"/>
    <w:rsid w:val="00AB460D"/>
    <w:rsid w:val="00AB4A75"/>
    <w:rsid w:val="00AB59BA"/>
    <w:rsid w:val="00AB6603"/>
    <w:rsid w:val="00AB7DAB"/>
    <w:rsid w:val="00AC3B6A"/>
    <w:rsid w:val="00AC6179"/>
    <w:rsid w:val="00AD3AE2"/>
    <w:rsid w:val="00AD4B47"/>
    <w:rsid w:val="00AD67D8"/>
    <w:rsid w:val="00AD7233"/>
    <w:rsid w:val="00AE184B"/>
    <w:rsid w:val="00AE1D56"/>
    <w:rsid w:val="00AE7372"/>
    <w:rsid w:val="00AE7835"/>
    <w:rsid w:val="00AF26A6"/>
    <w:rsid w:val="00AF3679"/>
    <w:rsid w:val="00AF4938"/>
    <w:rsid w:val="00AF693E"/>
    <w:rsid w:val="00B004CE"/>
    <w:rsid w:val="00B0115A"/>
    <w:rsid w:val="00B03ABA"/>
    <w:rsid w:val="00B068EA"/>
    <w:rsid w:val="00B07A02"/>
    <w:rsid w:val="00B11287"/>
    <w:rsid w:val="00B1255A"/>
    <w:rsid w:val="00B21234"/>
    <w:rsid w:val="00B227B9"/>
    <w:rsid w:val="00B22A33"/>
    <w:rsid w:val="00B31386"/>
    <w:rsid w:val="00B32620"/>
    <w:rsid w:val="00B3547C"/>
    <w:rsid w:val="00B4048E"/>
    <w:rsid w:val="00B4164E"/>
    <w:rsid w:val="00B42A8F"/>
    <w:rsid w:val="00B45EFB"/>
    <w:rsid w:val="00B51491"/>
    <w:rsid w:val="00B5312A"/>
    <w:rsid w:val="00B53EAF"/>
    <w:rsid w:val="00B54BE3"/>
    <w:rsid w:val="00B55852"/>
    <w:rsid w:val="00B56B23"/>
    <w:rsid w:val="00B618CD"/>
    <w:rsid w:val="00B74F51"/>
    <w:rsid w:val="00B75F1A"/>
    <w:rsid w:val="00B80C6F"/>
    <w:rsid w:val="00B822D0"/>
    <w:rsid w:val="00B87A8B"/>
    <w:rsid w:val="00B920D2"/>
    <w:rsid w:val="00B93489"/>
    <w:rsid w:val="00B969CA"/>
    <w:rsid w:val="00BA30E7"/>
    <w:rsid w:val="00BA3B14"/>
    <w:rsid w:val="00BA3F94"/>
    <w:rsid w:val="00BA4E87"/>
    <w:rsid w:val="00BA5BF3"/>
    <w:rsid w:val="00BA74EE"/>
    <w:rsid w:val="00BA760E"/>
    <w:rsid w:val="00BB1004"/>
    <w:rsid w:val="00BB337B"/>
    <w:rsid w:val="00BB7609"/>
    <w:rsid w:val="00BC2714"/>
    <w:rsid w:val="00BC3418"/>
    <w:rsid w:val="00BC43D4"/>
    <w:rsid w:val="00BC6CE8"/>
    <w:rsid w:val="00BC7836"/>
    <w:rsid w:val="00BD15A3"/>
    <w:rsid w:val="00BD4389"/>
    <w:rsid w:val="00BD64D8"/>
    <w:rsid w:val="00BD7E51"/>
    <w:rsid w:val="00BE3C53"/>
    <w:rsid w:val="00BF56C2"/>
    <w:rsid w:val="00BF58D6"/>
    <w:rsid w:val="00BF6A0B"/>
    <w:rsid w:val="00C00DC2"/>
    <w:rsid w:val="00C01BEB"/>
    <w:rsid w:val="00C027CB"/>
    <w:rsid w:val="00C04165"/>
    <w:rsid w:val="00C05DFA"/>
    <w:rsid w:val="00C077E8"/>
    <w:rsid w:val="00C12841"/>
    <w:rsid w:val="00C13AEB"/>
    <w:rsid w:val="00C15282"/>
    <w:rsid w:val="00C1706C"/>
    <w:rsid w:val="00C17332"/>
    <w:rsid w:val="00C210A9"/>
    <w:rsid w:val="00C313CE"/>
    <w:rsid w:val="00C31D60"/>
    <w:rsid w:val="00C321D7"/>
    <w:rsid w:val="00C338A6"/>
    <w:rsid w:val="00C40464"/>
    <w:rsid w:val="00C44FE7"/>
    <w:rsid w:val="00C466C2"/>
    <w:rsid w:val="00C50C8E"/>
    <w:rsid w:val="00C51AF9"/>
    <w:rsid w:val="00C539C7"/>
    <w:rsid w:val="00C5514C"/>
    <w:rsid w:val="00C56FEE"/>
    <w:rsid w:val="00C604D1"/>
    <w:rsid w:val="00C6334C"/>
    <w:rsid w:val="00C64960"/>
    <w:rsid w:val="00C662A2"/>
    <w:rsid w:val="00C709A8"/>
    <w:rsid w:val="00C71324"/>
    <w:rsid w:val="00C71F5B"/>
    <w:rsid w:val="00C74A7D"/>
    <w:rsid w:val="00C7608B"/>
    <w:rsid w:val="00C81604"/>
    <w:rsid w:val="00C869EC"/>
    <w:rsid w:val="00C90F41"/>
    <w:rsid w:val="00C932F0"/>
    <w:rsid w:val="00C96219"/>
    <w:rsid w:val="00CB21E6"/>
    <w:rsid w:val="00CB3228"/>
    <w:rsid w:val="00CB3806"/>
    <w:rsid w:val="00CB3B1B"/>
    <w:rsid w:val="00CB6CE3"/>
    <w:rsid w:val="00CB7B54"/>
    <w:rsid w:val="00CC2705"/>
    <w:rsid w:val="00CC3E21"/>
    <w:rsid w:val="00CC4D77"/>
    <w:rsid w:val="00CC4F75"/>
    <w:rsid w:val="00CD508C"/>
    <w:rsid w:val="00CD57B2"/>
    <w:rsid w:val="00CE0A6D"/>
    <w:rsid w:val="00CE19E0"/>
    <w:rsid w:val="00CE7A29"/>
    <w:rsid w:val="00CF4161"/>
    <w:rsid w:val="00CF5AC8"/>
    <w:rsid w:val="00D01D9B"/>
    <w:rsid w:val="00D03877"/>
    <w:rsid w:val="00D12EF5"/>
    <w:rsid w:val="00D16E48"/>
    <w:rsid w:val="00D20013"/>
    <w:rsid w:val="00D2016B"/>
    <w:rsid w:val="00D21399"/>
    <w:rsid w:val="00D226A2"/>
    <w:rsid w:val="00D23D69"/>
    <w:rsid w:val="00D24109"/>
    <w:rsid w:val="00D2706E"/>
    <w:rsid w:val="00D278C5"/>
    <w:rsid w:val="00D30713"/>
    <w:rsid w:val="00D30A55"/>
    <w:rsid w:val="00D31072"/>
    <w:rsid w:val="00D40DF2"/>
    <w:rsid w:val="00D412DE"/>
    <w:rsid w:val="00D41834"/>
    <w:rsid w:val="00D41A2B"/>
    <w:rsid w:val="00D46759"/>
    <w:rsid w:val="00D47452"/>
    <w:rsid w:val="00D50558"/>
    <w:rsid w:val="00D53509"/>
    <w:rsid w:val="00D55416"/>
    <w:rsid w:val="00D563AB"/>
    <w:rsid w:val="00D578DE"/>
    <w:rsid w:val="00D62BA2"/>
    <w:rsid w:val="00D639FE"/>
    <w:rsid w:val="00D65178"/>
    <w:rsid w:val="00D66758"/>
    <w:rsid w:val="00D676AD"/>
    <w:rsid w:val="00D713FB"/>
    <w:rsid w:val="00D7604B"/>
    <w:rsid w:val="00D80D0D"/>
    <w:rsid w:val="00D85E77"/>
    <w:rsid w:val="00D8684B"/>
    <w:rsid w:val="00D90EAA"/>
    <w:rsid w:val="00D92A20"/>
    <w:rsid w:val="00D9377B"/>
    <w:rsid w:val="00D97309"/>
    <w:rsid w:val="00DA0473"/>
    <w:rsid w:val="00DA438A"/>
    <w:rsid w:val="00DB1B62"/>
    <w:rsid w:val="00DB28AA"/>
    <w:rsid w:val="00DB40C2"/>
    <w:rsid w:val="00DB755D"/>
    <w:rsid w:val="00DC297B"/>
    <w:rsid w:val="00DC3F93"/>
    <w:rsid w:val="00DC6FD2"/>
    <w:rsid w:val="00DD10B9"/>
    <w:rsid w:val="00DD591C"/>
    <w:rsid w:val="00DE2361"/>
    <w:rsid w:val="00DE5665"/>
    <w:rsid w:val="00DE6F91"/>
    <w:rsid w:val="00DE741A"/>
    <w:rsid w:val="00DF0843"/>
    <w:rsid w:val="00DF0B9F"/>
    <w:rsid w:val="00E037B7"/>
    <w:rsid w:val="00E0476E"/>
    <w:rsid w:val="00E05B44"/>
    <w:rsid w:val="00E05EB7"/>
    <w:rsid w:val="00E100B8"/>
    <w:rsid w:val="00E124B0"/>
    <w:rsid w:val="00E12C7B"/>
    <w:rsid w:val="00E13E71"/>
    <w:rsid w:val="00E167A6"/>
    <w:rsid w:val="00E175DC"/>
    <w:rsid w:val="00E2128A"/>
    <w:rsid w:val="00E23EAF"/>
    <w:rsid w:val="00E245C3"/>
    <w:rsid w:val="00E24CEC"/>
    <w:rsid w:val="00E25317"/>
    <w:rsid w:val="00E25DDD"/>
    <w:rsid w:val="00E2670C"/>
    <w:rsid w:val="00E271C7"/>
    <w:rsid w:val="00E33B0F"/>
    <w:rsid w:val="00E33CE0"/>
    <w:rsid w:val="00E37641"/>
    <w:rsid w:val="00E43D61"/>
    <w:rsid w:val="00E444FF"/>
    <w:rsid w:val="00E5153F"/>
    <w:rsid w:val="00E55988"/>
    <w:rsid w:val="00E563E6"/>
    <w:rsid w:val="00E60E11"/>
    <w:rsid w:val="00E6340E"/>
    <w:rsid w:val="00E70442"/>
    <w:rsid w:val="00E70C79"/>
    <w:rsid w:val="00E74804"/>
    <w:rsid w:val="00E764D3"/>
    <w:rsid w:val="00E773BC"/>
    <w:rsid w:val="00E77F33"/>
    <w:rsid w:val="00E81252"/>
    <w:rsid w:val="00E845DA"/>
    <w:rsid w:val="00E849C0"/>
    <w:rsid w:val="00E86715"/>
    <w:rsid w:val="00E86D1E"/>
    <w:rsid w:val="00E87AC8"/>
    <w:rsid w:val="00E9052B"/>
    <w:rsid w:val="00E9468F"/>
    <w:rsid w:val="00EA09DF"/>
    <w:rsid w:val="00EA660C"/>
    <w:rsid w:val="00EB109F"/>
    <w:rsid w:val="00EB1879"/>
    <w:rsid w:val="00EB1C4F"/>
    <w:rsid w:val="00EB2D20"/>
    <w:rsid w:val="00EB3389"/>
    <w:rsid w:val="00EB412D"/>
    <w:rsid w:val="00EB5E66"/>
    <w:rsid w:val="00EB6F84"/>
    <w:rsid w:val="00EC20DB"/>
    <w:rsid w:val="00EC5BCF"/>
    <w:rsid w:val="00ED15F9"/>
    <w:rsid w:val="00ED183F"/>
    <w:rsid w:val="00ED1F57"/>
    <w:rsid w:val="00ED2931"/>
    <w:rsid w:val="00ED39CE"/>
    <w:rsid w:val="00ED5656"/>
    <w:rsid w:val="00ED5D18"/>
    <w:rsid w:val="00ED6413"/>
    <w:rsid w:val="00ED782F"/>
    <w:rsid w:val="00EE0E2F"/>
    <w:rsid w:val="00EE1424"/>
    <w:rsid w:val="00EE2F57"/>
    <w:rsid w:val="00EE7FBD"/>
    <w:rsid w:val="00EF2724"/>
    <w:rsid w:val="00EF32AC"/>
    <w:rsid w:val="00F05C13"/>
    <w:rsid w:val="00F12336"/>
    <w:rsid w:val="00F139F5"/>
    <w:rsid w:val="00F15E04"/>
    <w:rsid w:val="00F17583"/>
    <w:rsid w:val="00F2004F"/>
    <w:rsid w:val="00F21F55"/>
    <w:rsid w:val="00F2527A"/>
    <w:rsid w:val="00F27A0E"/>
    <w:rsid w:val="00F341B5"/>
    <w:rsid w:val="00F34CDE"/>
    <w:rsid w:val="00F3634A"/>
    <w:rsid w:val="00F37E05"/>
    <w:rsid w:val="00F405B0"/>
    <w:rsid w:val="00F40ED9"/>
    <w:rsid w:val="00F41ECB"/>
    <w:rsid w:val="00F44D98"/>
    <w:rsid w:val="00F456B5"/>
    <w:rsid w:val="00F46179"/>
    <w:rsid w:val="00F46782"/>
    <w:rsid w:val="00F46BF1"/>
    <w:rsid w:val="00F507FF"/>
    <w:rsid w:val="00F51182"/>
    <w:rsid w:val="00F519AC"/>
    <w:rsid w:val="00F5376F"/>
    <w:rsid w:val="00F540CE"/>
    <w:rsid w:val="00F56AE7"/>
    <w:rsid w:val="00F573E9"/>
    <w:rsid w:val="00F57476"/>
    <w:rsid w:val="00F62853"/>
    <w:rsid w:val="00F63470"/>
    <w:rsid w:val="00F6490C"/>
    <w:rsid w:val="00F64FC7"/>
    <w:rsid w:val="00F658BD"/>
    <w:rsid w:val="00F6608D"/>
    <w:rsid w:val="00F66733"/>
    <w:rsid w:val="00F67C66"/>
    <w:rsid w:val="00F72CEC"/>
    <w:rsid w:val="00F731A1"/>
    <w:rsid w:val="00F73526"/>
    <w:rsid w:val="00F75817"/>
    <w:rsid w:val="00F75D97"/>
    <w:rsid w:val="00F772E7"/>
    <w:rsid w:val="00F77C12"/>
    <w:rsid w:val="00F819B1"/>
    <w:rsid w:val="00F8338F"/>
    <w:rsid w:val="00F845DE"/>
    <w:rsid w:val="00F865F4"/>
    <w:rsid w:val="00F90C5D"/>
    <w:rsid w:val="00F90FC4"/>
    <w:rsid w:val="00FA2E8C"/>
    <w:rsid w:val="00FB1BBA"/>
    <w:rsid w:val="00FB5930"/>
    <w:rsid w:val="00FC1BE5"/>
    <w:rsid w:val="00FC53A8"/>
    <w:rsid w:val="00FC546B"/>
    <w:rsid w:val="00FC5607"/>
    <w:rsid w:val="00FD01F8"/>
    <w:rsid w:val="00FD023C"/>
    <w:rsid w:val="00FD5795"/>
    <w:rsid w:val="00FD6A19"/>
    <w:rsid w:val="00FD7529"/>
    <w:rsid w:val="00FE30B3"/>
    <w:rsid w:val="00FE3194"/>
    <w:rsid w:val="00FE3392"/>
    <w:rsid w:val="00FF06C0"/>
    <w:rsid w:val="00FF23D0"/>
    <w:rsid w:val="00FF5291"/>
    <w:rsid w:val="01080FA1"/>
    <w:rsid w:val="011BCEC6"/>
    <w:rsid w:val="017AA8A4"/>
    <w:rsid w:val="026CEB17"/>
    <w:rsid w:val="03491D26"/>
    <w:rsid w:val="04747DEA"/>
    <w:rsid w:val="04E1F616"/>
    <w:rsid w:val="05050F48"/>
    <w:rsid w:val="060EDF6A"/>
    <w:rsid w:val="0723FD5B"/>
    <w:rsid w:val="07316C81"/>
    <w:rsid w:val="0758B549"/>
    <w:rsid w:val="0767D0D6"/>
    <w:rsid w:val="07C188FF"/>
    <w:rsid w:val="08017BEC"/>
    <w:rsid w:val="080DEDEE"/>
    <w:rsid w:val="0872B075"/>
    <w:rsid w:val="08833429"/>
    <w:rsid w:val="09068C5B"/>
    <w:rsid w:val="093152F9"/>
    <w:rsid w:val="0967049E"/>
    <w:rsid w:val="0A61C294"/>
    <w:rsid w:val="0B3069E7"/>
    <w:rsid w:val="0B4E71B2"/>
    <w:rsid w:val="0C747A28"/>
    <w:rsid w:val="0C7C925A"/>
    <w:rsid w:val="0C8FFD07"/>
    <w:rsid w:val="0D45CB75"/>
    <w:rsid w:val="0DA2A218"/>
    <w:rsid w:val="0DDE41AC"/>
    <w:rsid w:val="0E17E241"/>
    <w:rsid w:val="0E7067C1"/>
    <w:rsid w:val="0EA5640B"/>
    <w:rsid w:val="0F0A5220"/>
    <w:rsid w:val="0F177B89"/>
    <w:rsid w:val="0F79E5D9"/>
    <w:rsid w:val="0FB4193D"/>
    <w:rsid w:val="0FE33B53"/>
    <w:rsid w:val="10035335"/>
    <w:rsid w:val="1027147D"/>
    <w:rsid w:val="10ED4D3B"/>
    <w:rsid w:val="11E53478"/>
    <w:rsid w:val="11E8B86E"/>
    <w:rsid w:val="1240E67E"/>
    <w:rsid w:val="12E8DD53"/>
    <w:rsid w:val="131B3C42"/>
    <w:rsid w:val="13621610"/>
    <w:rsid w:val="1443FE10"/>
    <w:rsid w:val="144710D6"/>
    <w:rsid w:val="152688D4"/>
    <w:rsid w:val="156919C2"/>
    <w:rsid w:val="156B81D3"/>
    <w:rsid w:val="16292EC2"/>
    <w:rsid w:val="16367A2F"/>
    <w:rsid w:val="16557089"/>
    <w:rsid w:val="167A339A"/>
    <w:rsid w:val="1744D510"/>
    <w:rsid w:val="1766CD6E"/>
    <w:rsid w:val="177F3F47"/>
    <w:rsid w:val="1787CD3D"/>
    <w:rsid w:val="17E891C1"/>
    <w:rsid w:val="186CD7AB"/>
    <w:rsid w:val="19830BE0"/>
    <w:rsid w:val="19889422"/>
    <w:rsid w:val="19D771C1"/>
    <w:rsid w:val="1A139012"/>
    <w:rsid w:val="1A3A22EB"/>
    <w:rsid w:val="1A8E1D27"/>
    <w:rsid w:val="1AC1A413"/>
    <w:rsid w:val="1AD49A43"/>
    <w:rsid w:val="1AD73653"/>
    <w:rsid w:val="1B3FE68A"/>
    <w:rsid w:val="1B6EF5E9"/>
    <w:rsid w:val="1BA59DF9"/>
    <w:rsid w:val="1BCAC9E1"/>
    <w:rsid w:val="1C048B5E"/>
    <w:rsid w:val="1C3D0E5E"/>
    <w:rsid w:val="1CA0BF34"/>
    <w:rsid w:val="1CB880A1"/>
    <w:rsid w:val="1CC8523D"/>
    <w:rsid w:val="1CCB3758"/>
    <w:rsid w:val="1CD37AF6"/>
    <w:rsid w:val="1D7E57FD"/>
    <w:rsid w:val="1E32A8B2"/>
    <w:rsid w:val="1EFC116C"/>
    <w:rsid w:val="1F483B2F"/>
    <w:rsid w:val="1FA6555D"/>
    <w:rsid w:val="1FC3C6A5"/>
    <w:rsid w:val="1FD11389"/>
    <w:rsid w:val="20913428"/>
    <w:rsid w:val="20B75A19"/>
    <w:rsid w:val="215E265A"/>
    <w:rsid w:val="2171A265"/>
    <w:rsid w:val="2237C027"/>
    <w:rsid w:val="228EB64B"/>
    <w:rsid w:val="2308F1AB"/>
    <w:rsid w:val="23607D1C"/>
    <w:rsid w:val="23873F72"/>
    <w:rsid w:val="23B933C3"/>
    <w:rsid w:val="23F7455E"/>
    <w:rsid w:val="246D2721"/>
    <w:rsid w:val="247E2EE3"/>
    <w:rsid w:val="24DC7141"/>
    <w:rsid w:val="24E1F344"/>
    <w:rsid w:val="24F65BFA"/>
    <w:rsid w:val="24F73A56"/>
    <w:rsid w:val="2566DC5C"/>
    <w:rsid w:val="25801B9E"/>
    <w:rsid w:val="261E089A"/>
    <w:rsid w:val="267DFA0D"/>
    <w:rsid w:val="277324A3"/>
    <w:rsid w:val="280B6CFF"/>
    <w:rsid w:val="2844279E"/>
    <w:rsid w:val="285EF349"/>
    <w:rsid w:val="293854FA"/>
    <w:rsid w:val="2949B9C4"/>
    <w:rsid w:val="299BE2EA"/>
    <w:rsid w:val="29BDFB85"/>
    <w:rsid w:val="29CA6533"/>
    <w:rsid w:val="2A9AF138"/>
    <w:rsid w:val="2B2BC371"/>
    <w:rsid w:val="2B6B48DB"/>
    <w:rsid w:val="2C159FC3"/>
    <w:rsid w:val="2C1E78A6"/>
    <w:rsid w:val="2D0614AA"/>
    <w:rsid w:val="2D0B6803"/>
    <w:rsid w:val="2D29830E"/>
    <w:rsid w:val="2D29BA00"/>
    <w:rsid w:val="2D53B1FE"/>
    <w:rsid w:val="2EB26F8E"/>
    <w:rsid w:val="2F2781F8"/>
    <w:rsid w:val="2F5528ED"/>
    <w:rsid w:val="2F627E18"/>
    <w:rsid w:val="2F683C26"/>
    <w:rsid w:val="2FA85E67"/>
    <w:rsid w:val="2FE9A933"/>
    <w:rsid w:val="2FEC0084"/>
    <w:rsid w:val="313E7D6A"/>
    <w:rsid w:val="3193DF0C"/>
    <w:rsid w:val="31E2D1F2"/>
    <w:rsid w:val="31E9A98B"/>
    <w:rsid w:val="32E2BD91"/>
    <w:rsid w:val="33880217"/>
    <w:rsid w:val="339E13C6"/>
    <w:rsid w:val="34A89CFE"/>
    <w:rsid w:val="35570055"/>
    <w:rsid w:val="35EEEA7A"/>
    <w:rsid w:val="36B52E1E"/>
    <w:rsid w:val="36DABDDA"/>
    <w:rsid w:val="36DDD4B5"/>
    <w:rsid w:val="36E17D87"/>
    <w:rsid w:val="37D6C861"/>
    <w:rsid w:val="382B69A2"/>
    <w:rsid w:val="3897D9A7"/>
    <w:rsid w:val="3922D964"/>
    <w:rsid w:val="39B6802D"/>
    <w:rsid w:val="3A3E2706"/>
    <w:rsid w:val="3B388885"/>
    <w:rsid w:val="3B696C0A"/>
    <w:rsid w:val="3BBA1002"/>
    <w:rsid w:val="3C0D6CE9"/>
    <w:rsid w:val="3C6468AB"/>
    <w:rsid w:val="3C9C4FC2"/>
    <w:rsid w:val="3CD81268"/>
    <w:rsid w:val="3D0742F2"/>
    <w:rsid w:val="3D70A921"/>
    <w:rsid w:val="3D9BF30E"/>
    <w:rsid w:val="3E8A66E0"/>
    <w:rsid w:val="40C05AF1"/>
    <w:rsid w:val="4115D062"/>
    <w:rsid w:val="41700B86"/>
    <w:rsid w:val="418F99EA"/>
    <w:rsid w:val="41AD387D"/>
    <w:rsid w:val="41F677E1"/>
    <w:rsid w:val="42B1BF09"/>
    <w:rsid w:val="42CAAD95"/>
    <w:rsid w:val="42ED4B31"/>
    <w:rsid w:val="42F6242E"/>
    <w:rsid w:val="434110EB"/>
    <w:rsid w:val="43D3F450"/>
    <w:rsid w:val="43E56138"/>
    <w:rsid w:val="45362737"/>
    <w:rsid w:val="456D7393"/>
    <w:rsid w:val="45AE3377"/>
    <w:rsid w:val="45C7743A"/>
    <w:rsid w:val="464DCA34"/>
    <w:rsid w:val="467D05C8"/>
    <w:rsid w:val="46979B67"/>
    <w:rsid w:val="469AA2FF"/>
    <w:rsid w:val="4790DA1A"/>
    <w:rsid w:val="47E01235"/>
    <w:rsid w:val="47F36564"/>
    <w:rsid w:val="4866776B"/>
    <w:rsid w:val="49636768"/>
    <w:rsid w:val="497B0371"/>
    <w:rsid w:val="49C5325E"/>
    <w:rsid w:val="4A3F73AC"/>
    <w:rsid w:val="4AA82A3D"/>
    <w:rsid w:val="4B2161BC"/>
    <w:rsid w:val="4B3485DF"/>
    <w:rsid w:val="4B98EC23"/>
    <w:rsid w:val="4C279D7C"/>
    <w:rsid w:val="4C4062E4"/>
    <w:rsid w:val="4C541B55"/>
    <w:rsid w:val="4D5E6436"/>
    <w:rsid w:val="4D692ED9"/>
    <w:rsid w:val="4D9BFB84"/>
    <w:rsid w:val="4DDB536F"/>
    <w:rsid w:val="4DF48229"/>
    <w:rsid w:val="4E15A902"/>
    <w:rsid w:val="4E90B40A"/>
    <w:rsid w:val="4EA8067C"/>
    <w:rsid w:val="5001C327"/>
    <w:rsid w:val="5122EEF0"/>
    <w:rsid w:val="5127D053"/>
    <w:rsid w:val="51AD9505"/>
    <w:rsid w:val="523A9962"/>
    <w:rsid w:val="52714FF3"/>
    <w:rsid w:val="52CEDBFA"/>
    <w:rsid w:val="5324BFA2"/>
    <w:rsid w:val="53A23A95"/>
    <w:rsid w:val="5453DC54"/>
    <w:rsid w:val="549DA8BB"/>
    <w:rsid w:val="550136FC"/>
    <w:rsid w:val="553D30F4"/>
    <w:rsid w:val="5566E84A"/>
    <w:rsid w:val="55B6AA40"/>
    <w:rsid w:val="560F4C83"/>
    <w:rsid w:val="566AAFFA"/>
    <w:rsid w:val="5688954C"/>
    <w:rsid w:val="56A8D1EE"/>
    <w:rsid w:val="56D62771"/>
    <w:rsid w:val="5719D4AA"/>
    <w:rsid w:val="57C42238"/>
    <w:rsid w:val="57D2076B"/>
    <w:rsid w:val="57F1A500"/>
    <w:rsid w:val="58A990B5"/>
    <w:rsid w:val="58B20B7B"/>
    <w:rsid w:val="590DCBD1"/>
    <w:rsid w:val="5A09EEDB"/>
    <w:rsid w:val="5A2A1703"/>
    <w:rsid w:val="5A533905"/>
    <w:rsid w:val="5A6ED65A"/>
    <w:rsid w:val="5AB59BDC"/>
    <w:rsid w:val="5BEED8F8"/>
    <w:rsid w:val="5BF62A6F"/>
    <w:rsid w:val="5C942391"/>
    <w:rsid w:val="5CCF8153"/>
    <w:rsid w:val="5D08989B"/>
    <w:rsid w:val="5DEF1CE4"/>
    <w:rsid w:val="5EAF62B8"/>
    <w:rsid w:val="5F326071"/>
    <w:rsid w:val="5F4A4174"/>
    <w:rsid w:val="5FC37811"/>
    <w:rsid w:val="600F6B85"/>
    <w:rsid w:val="6026BC35"/>
    <w:rsid w:val="609E35F8"/>
    <w:rsid w:val="60A698EF"/>
    <w:rsid w:val="61483759"/>
    <w:rsid w:val="61B43675"/>
    <w:rsid w:val="61D0FA95"/>
    <w:rsid w:val="62BFF2B6"/>
    <w:rsid w:val="62F308DB"/>
    <w:rsid w:val="631540EF"/>
    <w:rsid w:val="6377A49D"/>
    <w:rsid w:val="64CBB814"/>
    <w:rsid w:val="65583C84"/>
    <w:rsid w:val="657B1802"/>
    <w:rsid w:val="658132C5"/>
    <w:rsid w:val="65E48670"/>
    <w:rsid w:val="6624503F"/>
    <w:rsid w:val="66946A89"/>
    <w:rsid w:val="669B9684"/>
    <w:rsid w:val="67194A60"/>
    <w:rsid w:val="678B8379"/>
    <w:rsid w:val="67A0BBDF"/>
    <w:rsid w:val="67ACA47E"/>
    <w:rsid w:val="67C9A4AC"/>
    <w:rsid w:val="67E18051"/>
    <w:rsid w:val="6852512A"/>
    <w:rsid w:val="68D158C9"/>
    <w:rsid w:val="6978DB4C"/>
    <w:rsid w:val="69EBB1AA"/>
    <w:rsid w:val="69F66DCD"/>
    <w:rsid w:val="6A38A907"/>
    <w:rsid w:val="6AD75E6A"/>
    <w:rsid w:val="6AE8E012"/>
    <w:rsid w:val="6BB71450"/>
    <w:rsid w:val="6BD0FFD9"/>
    <w:rsid w:val="6BFC6F6C"/>
    <w:rsid w:val="6C910192"/>
    <w:rsid w:val="6CB61140"/>
    <w:rsid w:val="6CB754E8"/>
    <w:rsid w:val="6DB345BB"/>
    <w:rsid w:val="6DCEBA76"/>
    <w:rsid w:val="6E50DFB9"/>
    <w:rsid w:val="6F029719"/>
    <w:rsid w:val="6FA7FC7E"/>
    <w:rsid w:val="6FC17D1C"/>
    <w:rsid w:val="70157975"/>
    <w:rsid w:val="70271DA6"/>
    <w:rsid w:val="70AD6CB9"/>
    <w:rsid w:val="710D1E6E"/>
    <w:rsid w:val="71CE47E7"/>
    <w:rsid w:val="71F7A56C"/>
    <w:rsid w:val="720DF60F"/>
    <w:rsid w:val="721EAB99"/>
    <w:rsid w:val="73A978FE"/>
    <w:rsid w:val="7478B2FD"/>
    <w:rsid w:val="758F7F9E"/>
    <w:rsid w:val="75C2AB06"/>
    <w:rsid w:val="75E0364D"/>
    <w:rsid w:val="765E7D96"/>
    <w:rsid w:val="76C7CB8F"/>
    <w:rsid w:val="7702CA1E"/>
    <w:rsid w:val="775113B8"/>
    <w:rsid w:val="77667029"/>
    <w:rsid w:val="77E2E8D5"/>
    <w:rsid w:val="783D7492"/>
    <w:rsid w:val="786284A1"/>
    <w:rsid w:val="7905FF18"/>
    <w:rsid w:val="79409682"/>
    <w:rsid w:val="79F04F88"/>
    <w:rsid w:val="7A32C6ED"/>
    <w:rsid w:val="7BB1333B"/>
    <w:rsid w:val="7BDE141F"/>
    <w:rsid w:val="7C1B8B2F"/>
    <w:rsid w:val="7C4D0458"/>
    <w:rsid w:val="7C6A518A"/>
    <w:rsid w:val="7CEA39C5"/>
    <w:rsid w:val="7D45F483"/>
    <w:rsid w:val="7E701A0A"/>
    <w:rsid w:val="7ED7F259"/>
    <w:rsid w:val="7EF7232A"/>
    <w:rsid w:val="7F5FDEB5"/>
    <w:rsid w:val="7F75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985C"/>
  <w15:chartTrackingRefBased/>
  <w15:docId w15:val="{C02A1B3F-F85A-4E65-A01A-5FAC0577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9D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9D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19D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2C19D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2C19D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19D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19D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19D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19D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19D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1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9D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19D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1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9D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1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9D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1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9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19D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C19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9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1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9D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C1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D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C19D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B29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4D3F7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87AC8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E87A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7A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913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13F7"/>
  </w:style>
  <w:style w:type="paragraph" w:styleId="Footer">
    <w:name w:val="footer"/>
    <w:basedOn w:val="Normal"/>
    <w:link w:val="FooterChar"/>
    <w:uiPriority w:val="99"/>
    <w:unhideWhenUsed/>
    <w:rsid w:val="003913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13F7"/>
  </w:style>
  <w:style w:type="character" w:styleId="Mention">
    <w:name w:val="Mention"/>
    <w:basedOn w:val="DefaultParagraphFont"/>
    <w:uiPriority w:val="99"/>
    <w:unhideWhenUsed/>
    <w:rsid w:val="003D022B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F63470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F6347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6347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70C79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47660"/>
  </w:style>
  <w:style w:type="numbering" w:styleId="CurrentList1" w:customStyle="1">
    <w:name w:val="Current List1"/>
    <w:uiPriority w:val="99"/>
    <w:rsid w:val="00BD7E51"/>
    <w:pPr>
      <w:numPr>
        <w:numId w:val="5"/>
      </w:numPr>
    </w:pPr>
  </w:style>
  <w:style w:type="numbering" w:styleId="CurrentList2" w:customStyle="1">
    <w:name w:val="Current List2"/>
    <w:uiPriority w:val="99"/>
    <w:rsid w:val="00BD7E51"/>
    <w:pPr>
      <w:numPr>
        <w:numId w:val="7"/>
      </w:numPr>
    </w:pPr>
  </w:style>
  <w:style w:type="character" w:styleId="Strong">
    <w:name w:val="Strong"/>
    <w:basedOn w:val="DefaultParagraphFont"/>
    <w:uiPriority w:val="22"/>
    <w:qFormat/>
    <w:rsid w:val="00642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pophealthlearningcenter.org/wp-content/uploads/2026/02/2026-February-Learning-Community-Slides-Part-1-2.pdf?utm_campaign=11339652-EPT%20Emails&amp;utm_medium=email&amp;_hsenc=p2ANqtz--qCBuqYKxwExhlGmOWQ1TS70h97YG2u4RsXvOtP_jTYBopS1_HVPHthsg9owe4w2HscCM8RW2ODmicmcF3Tm1cMKnCmu6mZfMEp_4-5LrwIrtwJXU&amp;_hsmi=2&amp;utm_content=2&amp;utm_source=hs_email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pophealthlearningcenter.org/wp-content/uploads/2026/02/Value-Based-Pay-Capacity-Assessment.pdf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ophealthlearningcenter.org/wp-content/uploads/2026/02/Value-Based-Pay-Capacity-Assessment.pdf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pophealthlearningcenter.org/wp-content/uploads/2026/02/2026-February-Learning-Community-Slides-Part-1-2.pdf?utm_campaign=11339652-EPT%20Emails&amp;utm_medium=email&amp;_hsenc=p2ANqtz--qCBuqYKxwExhlGmOWQ1TS70h97YG2u4RsXvOtP_jTYBopS1_HVPHthsg9owe4w2HscCM8RW2ODmicmcF3Tm1cMKnCmu6mZfMEp_4-5LrwIrtwJXU&amp;_hsmi=2&amp;utm_content=2&amp;utm_source=hs_email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https://www.milbank.org/publications/building-bridges-to-value-infrastructure-essentials-for-community-health-centers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3c5b6-e95b-426e-b8c4-e080bfd3def7">
      <Terms xmlns="http://schemas.microsoft.com/office/infopath/2007/PartnerControls"/>
    </lcf76f155ced4ddcb4097134ff3c332f>
    <TaxCatchAll xmlns="cb4698ab-05d7-43cd-a1ea-68617d22cd0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A5AE673C57148B89A6E4541740596" ma:contentTypeVersion="16" ma:contentTypeDescription="Create a new document." ma:contentTypeScope="" ma:versionID="7fca1cd8f8ea0ea8e38be61aeca6b5f1">
  <xsd:schema xmlns:xsd="http://www.w3.org/2001/XMLSchema" xmlns:xs="http://www.w3.org/2001/XMLSchema" xmlns:p="http://schemas.microsoft.com/office/2006/metadata/properties" xmlns:ns2="cb4698ab-05d7-43cd-a1ea-68617d22cd0a" xmlns:ns3="4823c5b6-e95b-426e-b8c4-e080bfd3def7" targetNamespace="http://schemas.microsoft.com/office/2006/metadata/properties" ma:root="true" ma:fieldsID="e51644dff22d9705a90dbea76b6576c1" ns2:_="" ns3:_="">
    <xsd:import namespace="cb4698ab-05d7-43cd-a1ea-68617d22cd0a"/>
    <xsd:import namespace="4823c5b6-e95b-426e-b8c4-e080bfd3de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698ab-05d7-43cd-a1ea-68617d22cd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ddc982-bc91-4485-acfd-23171be358e0}" ma:internalName="TaxCatchAll" ma:showField="CatchAllData" ma:web="cb4698ab-05d7-43cd-a1ea-68617d22c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c5b6-e95b-426e-b8c4-e080bfd3d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513810-8253-45b2-b3c1-6fab3434a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0AA74-96D1-4F78-A0A6-F06DEDCC3948}">
  <ds:schemaRefs>
    <ds:schemaRef ds:uri="http://schemas.microsoft.com/office/2006/metadata/properties"/>
    <ds:schemaRef ds:uri="http://schemas.microsoft.com/office/infopath/2007/PartnerControls"/>
    <ds:schemaRef ds:uri="4823c5b6-e95b-426e-b8c4-e080bfd3def7"/>
    <ds:schemaRef ds:uri="cb4698ab-05d7-43cd-a1ea-68617d22cd0a"/>
  </ds:schemaRefs>
</ds:datastoreItem>
</file>

<file path=customXml/itemProps2.xml><?xml version="1.0" encoding="utf-8"?>
<ds:datastoreItem xmlns:ds="http://schemas.openxmlformats.org/officeDocument/2006/customXml" ds:itemID="{820A3908-5D73-3243-AF46-F181AC7079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F36222-EA16-4F1F-B87A-3923330B8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698ab-05d7-43cd-a1ea-68617d22cd0a"/>
    <ds:schemaRef ds:uri="4823c5b6-e95b-426e-b8c4-e080bfd3d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0E97C0-9D80-473F-927C-D008EF9413C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 Isaacson</dc:creator>
  <keywords/>
  <dc:description/>
  <lastModifiedBy>Rachel Kochhar</lastModifiedBy>
  <revision>65</revision>
  <dcterms:created xsi:type="dcterms:W3CDTF">2026-03-03T00:35:00.0000000Z</dcterms:created>
  <dcterms:modified xsi:type="dcterms:W3CDTF">2026-03-09T17:46:35.5257307Z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0x0101007FFA5AE673C57148B89A6E4541740596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